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s="Times New Roman"/>
          <w:sz w:val="36"/>
          <w:szCs w:val="36"/>
        </w:rPr>
      </w:pPr>
      <w:r>
        <w:rPr>
          <w:rFonts w:ascii="仿宋_GB2312" w:hAnsi="等线" w:eastAsia="仿宋_GB2312" w:cs="Times New Roman"/>
          <w:sz w:val="28"/>
          <w:szCs w:val="28"/>
        </w:rPr>
        <w:t>附件：</w:t>
      </w:r>
      <w:r>
        <w:rPr>
          <w:rFonts w:hint="eastAsia" w:ascii="黑体" w:hAnsi="黑体" w:eastAsia="黑体" w:cs="Times New Roman"/>
          <w:sz w:val="36"/>
          <w:szCs w:val="36"/>
        </w:rPr>
        <w:t xml:space="preserve"> </w:t>
      </w:r>
      <w:r>
        <w:rPr>
          <w:rFonts w:ascii="黑体" w:hAnsi="黑体" w:eastAsia="黑体" w:cs="Times New Roman"/>
          <w:sz w:val="36"/>
          <w:szCs w:val="36"/>
        </w:rPr>
        <w:t xml:space="preserve">      </w:t>
      </w:r>
    </w:p>
    <w:p>
      <w:pPr>
        <w:jc w:val="center"/>
        <w:rPr>
          <w:rFonts w:hint="eastAsia" w:ascii="方正小标宋简体" w:hAnsi="方正小标宋简体" w:eastAsia="方正小标宋简体" w:cs="方正小标宋简体"/>
          <w:b w:val="0"/>
          <w:bCs w:val="0"/>
          <w:sz w:val="32"/>
          <w:szCs w:val="32"/>
        </w:rPr>
      </w:pPr>
      <w:bookmarkStart w:id="0" w:name="_GoBack"/>
      <w:r>
        <w:rPr>
          <w:rFonts w:hint="eastAsia" w:ascii="方正小标宋简体" w:hAnsi="方正小标宋简体" w:eastAsia="方正小标宋简体" w:cs="方正小标宋简体"/>
          <w:b w:val="0"/>
          <w:bCs w:val="0"/>
          <w:sz w:val="32"/>
          <w:szCs w:val="32"/>
        </w:rPr>
        <w:t>中国勘察设计协会2024年团体标准制修订项目工作计划</w:t>
      </w:r>
      <w:bookmarkEnd w:id="0"/>
    </w:p>
    <w:tbl>
      <w:tblPr>
        <w:tblStyle w:val="3"/>
        <w:tblW w:w="15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85"/>
        <w:gridCol w:w="990"/>
        <w:gridCol w:w="3996"/>
        <w:gridCol w:w="1063"/>
        <w:gridCol w:w="1422"/>
        <w:gridCol w:w="4524"/>
        <w:gridCol w:w="85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69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18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项目名称</w:t>
            </w:r>
          </w:p>
        </w:tc>
        <w:tc>
          <w:tcPr>
            <w:tcW w:w="99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制修订</w:t>
            </w:r>
          </w:p>
        </w:tc>
        <w:tc>
          <w:tcPr>
            <w:tcW w:w="399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适用范围和主要技术内容</w:t>
            </w:r>
          </w:p>
        </w:tc>
        <w:tc>
          <w:tcPr>
            <w:tcW w:w="106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主编部门</w:t>
            </w:r>
          </w:p>
        </w:tc>
        <w:tc>
          <w:tcPr>
            <w:tcW w:w="142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主编单位</w:t>
            </w:r>
          </w:p>
        </w:tc>
        <w:tc>
          <w:tcPr>
            <w:tcW w:w="45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主要参编单位</w:t>
            </w:r>
          </w:p>
        </w:tc>
        <w:tc>
          <w:tcPr>
            <w:tcW w:w="85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主要</w:t>
            </w:r>
          </w:p>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起草人</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发布 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6" w:hRule="atLeast"/>
          <w:jc w:val="center"/>
        </w:trPr>
        <w:tc>
          <w:tcPr>
            <w:tcW w:w="699" w:type="dxa"/>
            <w:tcBorders>
              <w:top w:val="single" w:color="auto" w:sz="4" w:space="0"/>
            </w:tcBorders>
            <w:shd w:val="clear" w:color="auto" w:fill="auto"/>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w:t>
            </w:r>
          </w:p>
        </w:tc>
        <w:tc>
          <w:tcPr>
            <w:tcW w:w="1185" w:type="dxa"/>
            <w:tcBorders>
              <w:top w:val="single" w:color="auto" w:sz="4" w:space="0"/>
            </w:tcBorders>
            <w:shd w:val="clear" w:color="auto" w:fill="auto"/>
            <w:noWrap w:val="0"/>
            <w:vAlign w:val="center"/>
          </w:tcPr>
          <w:p>
            <w:pPr>
              <w:widowControl/>
              <w:rPr>
                <w:rFonts w:ascii="仿宋" w:hAnsi="仿宋" w:eastAsia="仿宋" w:cs="Times New Roman"/>
                <w:color w:val="000000"/>
                <w:szCs w:val="21"/>
              </w:rPr>
            </w:pPr>
            <w:r>
              <w:rPr>
                <w:rFonts w:ascii="仿宋" w:hAnsi="仿宋" w:eastAsia="仿宋" w:cs="Times New Roman"/>
                <w:color w:val="000000"/>
                <w:szCs w:val="21"/>
              </w:rPr>
              <w:t>低碳生态科技城评价标准</w:t>
            </w:r>
          </w:p>
        </w:tc>
        <w:tc>
          <w:tcPr>
            <w:tcW w:w="990" w:type="dxa"/>
            <w:tcBorders>
              <w:top w:val="single" w:color="auto" w:sz="4" w:space="0"/>
            </w:tcBorders>
            <w:shd w:val="clear" w:color="auto" w:fill="auto"/>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single" w:color="auto" w:sz="4" w:space="0"/>
            </w:tcBorders>
            <w:shd w:val="clear" w:color="auto" w:fill="auto"/>
            <w:noWrap w:val="0"/>
            <w:vAlign w:val="center"/>
          </w:tcPr>
          <w:p>
            <w:pPr>
              <w:rPr>
                <w:rFonts w:ascii="仿宋" w:hAnsi="仿宋" w:eastAsia="仿宋" w:cs="Times New Roman"/>
                <w:color w:val="000000"/>
                <w:szCs w:val="21"/>
              </w:rPr>
            </w:pPr>
            <w:r>
              <w:rPr>
                <w:rFonts w:ascii="仿宋" w:hAnsi="仿宋" w:eastAsia="仿宋" w:cs="Times New Roman"/>
                <w:color w:val="000000"/>
                <w:szCs w:val="21"/>
              </w:rPr>
              <w:t>适用于低碳生态科技城建设和运营评价。</w:t>
            </w:r>
          </w:p>
          <w:p>
            <w:pPr>
              <w:rPr>
                <w:rFonts w:ascii="仿宋" w:hAnsi="仿宋" w:eastAsia="仿宋" w:cs="Times New Roman"/>
                <w:color w:val="000000"/>
                <w:szCs w:val="21"/>
              </w:rPr>
            </w:pPr>
            <w:r>
              <w:rPr>
                <w:rFonts w:ascii="仿宋" w:hAnsi="仿宋" w:eastAsia="仿宋" w:cs="Times New Roman"/>
                <w:color w:val="000000"/>
                <w:szCs w:val="21"/>
              </w:rPr>
              <w:t>主要技术内容：1.技术准则是坚持因地制宜、坚持创新引领、坚持用户导向；2.技术内容和要求考虑低碳生态科技城建设运营特点，从土地利用、交通系统、生态环境、能源与资源、绿色建筑、产业与经济、碳排放等多方面构建评价指标体系。</w:t>
            </w:r>
          </w:p>
        </w:tc>
        <w:tc>
          <w:tcPr>
            <w:tcW w:w="1063" w:type="dxa"/>
            <w:tcBorders>
              <w:top w:val="single" w:color="auto" w:sz="4" w:space="0"/>
            </w:tcBorders>
            <w:shd w:val="clear" w:color="auto" w:fill="auto"/>
            <w:noWrap w:val="0"/>
            <w:vAlign w:val="center"/>
          </w:tcPr>
          <w:p>
            <w:pPr>
              <w:rPr>
                <w:rFonts w:ascii="仿宋" w:hAnsi="仿宋" w:eastAsia="仿宋" w:cs="Times New Roman"/>
                <w:color w:val="000000"/>
                <w:szCs w:val="21"/>
              </w:rPr>
            </w:pPr>
            <w:r>
              <w:rPr>
                <w:rFonts w:ascii="仿宋" w:hAnsi="仿宋" w:eastAsia="仿宋" w:cs="Times New Roman"/>
                <w:color w:val="000000"/>
                <w:szCs w:val="21"/>
              </w:rPr>
              <w:t>建筑设计分会</w:t>
            </w:r>
          </w:p>
        </w:tc>
        <w:tc>
          <w:tcPr>
            <w:tcW w:w="1422" w:type="dxa"/>
            <w:tcBorders>
              <w:top w:val="single" w:color="auto" w:sz="4" w:space="0"/>
            </w:tcBorders>
            <w:shd w:val="clear" w:color="auto" w:fill="auto"/>
            <w:noWrap w:val="0"/>
            <w:vAlign w:val="center"/>
          </w:tcPr>
          <w:p>
            <w:pPr>
              <w:rPr>
                <w:rFonts w:ascii="仿宋" w:hAnsi="仿宋" w:eastAsia="仿宋" w:cs="Times New Roman"/>
                <w:color w:val="000000"/>
                <w:szCs w:val="21"/>
              </w:rPr>
            </w:pPr>
            <w:r>
              <w:rPr>
                <w:rFonts w:ascii="仿宋" w:hAnsi="仿宋" w:eastAsia="仿宋" w:cs="Times New Roman"/>
                <w:color w:val="000000"/>
                <w:szCs w:val="21"/>
              </w:rPr>
              <w:t>住房和城乡建设部科技与产业化发展中心</w:t>
            </w:r>
          </w:p>
        </w:tc>
        <w:tc>
          <w:tcPr>
            <w:tcW w:w="4524" w:type="dxa"/>
            <w:tcBorders>
              <w:top w:val="single" w:color="auto" w:sz="4" w:space="0"/>
            </w:tcBorders>
            <w:shd w:val="clear" w:color="auto" w:fill="auto"/>
            <w:noWrap w:val="0"/>
            <w:vAlign w:val="center"/>
          </w:tcPr>
          <w:p>
            <w:pPr>
              <w:rPr>
                <w:rFonts w:ascii="仿宋" w:hAnsi="仿宋" w:eastAsia="仿宋" w:cs="Times New Roman"/>
                <w:color w:val="000000"/>
                <w:szCs w:val="21"/>
              </w:rPr>
            </w:pPr>
            <w:r>
              <w:rPr>
                <w:rFonts w:ascii="仿宋" w:hAnsi="仿宋" w:eastAsia="仿宋" w:cs="Times New Roman"/>
                <w:color w:val="000000"/>
                <w:szCs w:val="21"/>
              </w:rPr>
              <w:t>亚太建设科技信息研究院有限公司、广州市城市规划勘察设计研究院、北京建筑技术发展有限责任公司、中国建筑科学研究院有限公司、北京旭曜建筑科技有限公司、上海开艺设计集团、中咨规划设计研究总院、北京清华同衡规划设计研究院有限公司、清华清动互联科技有限公司、北京建筑大学、御道工程咨询（北京）有限公司、世优社（北京）项目管理中心有限公司</w:t>
            </w:r>
          </w:p>
        </w:tc>
        <w:tc>
          <w:tcPr>
            <w:tcW w:w="858" w:type="dxa"/>
            <w:tcBorders>
              <w:top w:val="single" w:color="auto" w:sz="4" w:space="0"/>
            </w:tcBorders>
            <w:shd w:val="clear" w:color="000000" w:fill="FFFFFF"/>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梁</w:t>
            </w:r>
            <w:r>
              <w:rPr>
                <w:rFonts w:hint="eastAsia" w:ascii="仿宋" w:hAnsi="仿宋" w:eastAsia="仿宋" w:cs="Times New Roman"/>
                <w:color w:val="000000"/>
                <w:szCs w:val="21"/>
              </w:rPr>
              <w:t xml:space="preserve"> </w:t>
            </w:r>
            <w:r>
              <w:rPr>
                <w:rFonts w:ascii="仿宋" w:hAnsi="仿宋" w:eastAsia="仿宋" w:cs="Times New Roman"/>
                <w:color w:val="000000"/>
                <w:szCs w:val="21"/>
              </w:rPr>
              <w:t xml:space="preserve"> 浩</w:t>
            </w:r>
          </w:p>
        </w:tc>
        <w:tc>
          <w:tcPr>
            <w:tcW w:w="851" w:type="dxa"/>
            <w:tcBorders>
              <w:top w:val="single" w:color="auto" w:sz="4" w:space="0"/>
            </w:tcBorders>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w:t>
            </w:r>
          </w:p>
        </w:tc>
        <w:tc>
          <w:tcPr>
            <w:tcW w:w="1185"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坡地住区空间适老化设计导则</w:t>
            </w:r>
          </w:p>
        </w:tc>
        <w:tc>
          <w:tcPr>
            <w:tcW w:w="990"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适用于在坡地区域进行住区规划和建设时，需特别考虑地理特性与老年人的生理心理需求，提升空间场景对生活细节的正向适应性，以确保适用人群在住区环境中舒适、安全、便利地生活与交往。</w:t>
            </w:r>
          </w:p>
          <w:p>
            <w:pPr>
              <w:rPr>
                <w:rFonts w:ascii="仿宋" w:hAnsi="仿宋" w:eastAsia="仿宋" w:cs="Times New Roman"/>
                <w:color w:val="000000"/>
                <w:szCs w:val="21"/>
              </w:rPr>
            </w:pPr>
            <w:r>
              <w:rPr>
                <w:rFonts w:ascii="仿宋" w:hAnsi="仿宋" w:eastAsia="仿宋" w:cs="Times New Roman"/>
                <w:color w:val="000000"/>
                <w:szCs w:val="21"/>
              </w:rPr>
              <w:t>主要技术内容：包括无障碍通行要求、交通与道路设计、住宅建筑设计要求、公共空间设施规划、安全设施要求、绿化和景观环境设计、社区服务设施规划、智慧信息服务设施等几个方面的技术准则、内容和要求。</w:t>
            </w:r>
          </w:p>
        </w:tc>
        <w:tc>
          <w:tcPr>
            <w:tcW w:w="1063"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建筑设计分会</w:t>
            </w:r>
          </w:p>
        </w:tc>
        <w:tc>
          <w:tcPr>
            <w:tcW w:w="1422"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重庆市设计院有限公司</w:t>
            </w:r>
          </w:p>
        </w:tc>
        <w:tc>
          <w:tcPr>
            <w:tcW w:w="4524"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中国建筑西南设计研究院有限公司、中国建筑西北设计研究院有限公司、中南建筑设计院股份有限公司、同济大学、重庆大学、重庆交通大学</w:t>
            </w:r>
          </w:p>
        </w:tc>
        <w:tc>
          <w:tcPr>
            <w:tcW w:w="858" w:type="dxa"/>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褚冬竹</w:t>
            </w:r>
          </w:p>
        </w:tc>
        <w:tc>
          <w:tcPr>
            <w:tcW w:w="851" w:type="dxa"/>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w:t>
            </w:r>
          </w:p>
        </w:tc>
        <w:tc>
          <w:tcPr>
            <w:tcW w:w="1185"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岩土工程勘察</w:t>
            </w:r>
            <w:r>
              <w:rPr>
                <w:rFonts w:hint="eastAsia" w:ascii="仿宋" w:hAnsi="仿宋" w:eastAsia="仿宋" w:cs="Times New Roman"/>
                <w:color w:val="000000"/>
                <w:szCs w:val="21"/>
              </w:rPr>
              <w:t>微</w:t>
            </w:r>
            <w:r>
              <w:rPr>
                <w:rFonts w:ascii="仿宋" w:hAnsi="仿宋" w:eastAsia="仿宋" w:cs="Times New Roman"/>
                <w:color w:val="000000"/>
                <w:szCs w:val="21"/>
              </w:rPr>
              <w:t>水试验规程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适用于岩土工程勘察中进行的单孔微水试验，其</w:t>
            </w:r>
            <w:r>
              <w:rPr>
                <w:rFonts w:hint="eastAsia" w:ascii="仿宋" w:hAnsi="仿宋" w:eastAsia="仿宋" w:cs="Times New Roman"/>
                <w:color w:val="000000"/>
                <w:szCs w:val="21"/>
              </w:rPr>
              <w:t>他</w:t>
            </w:r>
            <w:r>
              <w:rPr>
                <w:rFonts w:ascii="仿宋" w:hAnsi="仿宋" w:eastAsia="仿宋" w:cs="Times New Roman"/>
                <w:color w:val="000000"/>
                <w:szCs w:val="21"/>
              </w:rPr>
              <w:t>工程地质、水文地质、环境地质勘察可参照使用。</w:t>
            </w:r>
          </w:p>
          <w:p>
            <w:pPr>
              <w:rPr>
                <w:rFonts w:ascii="仿宋" w:hAnsi="仿宋" w:eastAsia="仿宋" w:cs="Times New Roman"/>
                <w:color w:val="000000"/>
                <w:szCs w:val="21"/>
              </w:rPr>
            </w:pPr>
            <w:r>
              <w:rPr>
                <w:rFonts w:ascii="仿宋" w:hAnsi="仿宋" w:eastAsia="仿宋" w:cs="Times New Roman"/>
                <w:color w:val="000000"/>
                <w:szCs w:val="21"/>
              </w:rPr>
              <w:t>主要技术内容</w:t>
            </w:r>
            <w:r>
              <w:rPr>
                <w:rFonts w:hint="eastAsia" w:ascii="仿宋" w:hAnsi="仿宋" w:eastAsia="仿宋" w:cs="Times New Roman"/>
                <w:color w:val="000000"/>
                <w:szCs w:val="21"/>
              </w:rPr>
              <w:t>：</w:t>
            </w:r>
            <w:r>
              <w:rPr>
                <w:rFonts w:ascii="仿宋" w:hAnsi="仿宋" w:eastAsia="仿宋" w:cs="Times New Roman"/>
                <w:color w:val="000000"/>
                <w:szCs w:val="21"/>
              </w:rPr>
              <w:t>包括基本规定、试验设备（包括设备组成及精度要求）、试验类型、试验操作步骤、数据采集与处理。本</w:t>
            </w:r>
            <w:r>
              <w:rPr>
                <w:rFonts w:hint="eastAsia" w:ascii="仿宋" w:hAnsi="仿宋" w:eastAsia="仿宋" w:cs="Times New Roman"/>
                <w:color w:val="000000"/>
                <w:szCs w:val="21"/>
              </w:rPr>
              <w:t>规程</w:t>
            </w:r>
            <w:r>
              <w:rPr>
                <w:rFonts w:ascii="仿宋" w:hAnsi="仿宋" w:eastAsia="仿宋" w:cs="Times New Roman"/>
                <w:color w:val="000000"/>
                <w:szCs w:val="21"/>
              </w:rPr>
              <w:t>应明确微水试验对地质条件、钻孔结构、设备选型、数据监测、数据处理等的技术要求。</w:t>
            </w:r>
          </w:p>
        </w:tc>
        <w:tc>
          <w:tcPr>
            <w:tcW w:w="1063"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工程勘察分会</w:t>
            </w:r>
          </w:p>
        </w:tc>
        <w:tc>
          <w:tcPr>
            <w:tcW w:w="1422"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黄河勘测规划设计研究院有限公司</w:t>
            </w:r>
          </w:p>
        </w:tc>
        <w:tc>
          <w:tcPr>
            <w:tcW w:w="4524" w:type="dxa"/>
            <w:noWrap w:val="0"/>
            <w:vAlign w:val="center"/>
          </w:tcPr>
          <w:p>
            <w:pPr>
              <w:rPr>
                <w:rFonts w:ascii="仿宋" w:hAnsi="仿宋" w:eastAsia="仿宋" w:cs="Times New Roman"/>
                <w:color w:val="000000"/>
                <w:szCs w:val="21"/>
              </w:rPr>
            </w:pPr>
            <w:r>
              <w:rPr>
                <w:rFonts w:ascii="仿宋" w:hAnsi="仿宋" w:eastAsia="仿宋" w:cs="Times New Roman"/>
                <w:color w:val="000000"/>
                <w:szCs w:val="21"/>
              </w:rPr>
              <w:t>河海大学</w:t>
            </w:r>
            <w:r>
              <w:rPr>
                <w:rFonts w:hint="eastAsia" w:ascii="仿宋" w:hAnsi="仿宋" w:eastAsia="仿宋" w:cs="Times New Roman"/>
                <w:color w:val="000000"/>
                <w:szCs w:val="21"/>
              </w:rPr>
              <w:t>、</w:t>
            </w:r>
            <w:r>
              <w:rPr>
                <w:rFonts w:ascii="仿宋" w:hAnsi="仿宋" w:eastAsia="仿宋" w:cs="Times New Roman"/>
                <w:color w:val="000000"/>
                <w:szCs w:val="21"/>
              </w:rPr>
              <w:t>河南省地质局生态环境地质服务中心</w:t>
            </w:r>
          </w:p>
        </w:tc>
        <w:tc>
          <w:tcPr>
            <w:tcW w:w="858" w:type="dxa"/>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李清波</w:t>
            </w:r>
          </w:p>
        </w:tc>
        <w:tc>
          <w:tcPr>
            <w:tcW w:w="851" w:type="dxa"/>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4</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既有建筑边坡工程安全风险检查评价技术规程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适用于建</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构</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筑物或市政工程开挖和填方形成的人工边坡，以及破坏后危及建（构）筑物安全的自然斜坡的安全风险检查评价。</w:t>
            </w:r>
          </w:p>
          <w:p>
            <w:pPr>
              <w:rPr>
                <w:rFonts w:ascii="仿宋" w:hAnsi="仿宋" w:eastAsia="仿宋" w:cs="Times New Roman"/>
                <w:color w:val="000000"/>
                <w:szCs w:val="21"/>
              </w:rPr>
            </w:pPr>
            <w:r>
              <w:rPr>
                <w:rFonts w:hint="eastAsia" w:ascii="仿宋" w:hAnsi="仿宋" w:eastAsia="仿宋" w:cs="Times New Roman"/>
                <w:color w:val="000000"/>
                <w:szCs w:val="21"/>
              </w:rPr>
              <w:t>主要技术内容：边坡工程安全风险检查评价是综合性和边缘性强的工程技术学科，其涉及到的其他技术要求还应符合《建筑边坡工程技术规范》GB50330等国家现行标准的相关规定。</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工程勘察分会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浙江省工程勘察设计院集团有限公司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重庆勘测院、浙江大学建筑设计研究院有限公司、浙江数智交院科技股份有限公司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王华俊</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5</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竖向斜撑基坑支护技术规程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适用于有效的将竖向斜撑支护体系在基坑工程中推广应用，相较于传统水平支撑体系可节约工程造价，减少资源的消耗。</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主要技术内容：针对目前的现行标准对竖向斜撑尤其支座设计计算未能给出具体的验算方法，设计指导性不强，本规程在调研国内外先进设计和施工企业的计算方法，总结提出一套适用的斜撑计算原则和方法。</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工程勘察分会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安徽省城建设计研究总院股份有限公司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上海勘察设计研究院（集团）股份有限公司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同济大学建筑设计研究院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集团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有限公司、华建集团上海申元岩土工程有限公司、天津市地质工程勘测设计院有限公司、同济大学、中国建筑第六工程局有限公司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蔡 </w:t>
            </w:r>
            <w:r>
              <w:rPr>
                <w:rFonts w:ascii="仿宋" w:hAnsi="仿宋" w:eastAsia="仿宋" w:cs="Times New Roman"/>
                <w:color w:val="000000"/>
                <w:szCs w:val="21"/>
              </w:rPr>
              <w:t xml:space="preserve"> </w:t>
            </w:r>
            <w:r>
              <w:rPr>
                <w:rFonts w:hint="eastAsia" w:ascii="仿宋" w:hAnsi="仿宋" w:eastAsia="仿宋" w:cs="Times New Roman"/>
                <w:color w:val="000000"/>
                <w:szCs w:val="21"/>
              </w:rPr>
              <w:t>敏</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exac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6</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岩土工程勘察数据交换标准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适用于规定岩土工程勘察软件数据交换的数据组织层次结构的存储格式，适用于各行业工程勘察领域（如房屋建筑与市政基础设施工程、水利水电工程、交通工程、铁路工程等）岩土工程勘察软件数据的交换。</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主要技术内容：前言、引言、范围、规范性引用文件、术语和定义、缩略语和符号、交换格式的构成及说明、附录等主要内容。</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工程勘察分会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上海勘测设计研究院有限公司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中航勘察设计研究院有限公司</w:t>
            </w:r>
          </w:p>
        </w:tc>
        <w:tc>
          <w:tcPr>
            <w:tcW w:w="4524" w:type="dxa"/>
            <w:noWrap w:val="0"/>
            <w:vAlign w:val="center"/>
          </w:tcPr>
          <w:p>
            <w:pPr>
              <w:widowControl/>
              <w:spacing w:line="280" w:lineRule="exact"/>
              <w:jc w:val="left"/>
              <w:rPr>
                <w:rFonts w:ascii="仿宋" w:hAnsi="仿宋" w:eastAsia="仿宋" w:cs="Times New Roman"/>
                <w:color w:val="000000"/>
                <w:szCs w:val="21"/>
              </w:rPr>
            </w:pPr>
            <w:r>
              <w:rPr>
                <w:rFonts w:hint="eastAsia" w:ascii="仿宋" w:hAnsi="仿宋" w:eastAsia="仿宋" w:cs="Times New Roman"/>
                <w:color w:val="000000"/>
                <w:szCs w:val="21"/>
              </w:rPr>
              <w:t>中国建筑西南勘察设计研究院有限公司、上海勘察设计研究院（集团）有限公司、北京市勘察设计研究院有限公司、重庆市勘测院、武汉市勘察设计有限公司、福建省建筑设计研究院有限公司、新疆建筑设计研究院有限公司、建设综合勘察研究设计院有限公司、中兵勘察设计研究院有限公司、中国铁路设计集团有限公司、中铁第四勘察设计院集团有限公司、湖南交通规划勘察设计院有限公司、云南地质工程勘察设计研究院有限公司、浙江华东岩土勘察设计研究院有限公司、上海城勘信息科技有限公司、北京理正软件股份有限公司、加华地学（武汉）数字技术有限公司、云南倬邦设计（集团）股份有限公司、南京市浦口区华宁软件开发中心、江苏省电力设计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王笃礼</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7</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工程勘察仪器设备质量管理标准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工程勘察仪器设备的配备、安装、验收、运行、报废等环节的管理和行业、部门监管。本标准所称工程勘察仪器设备，是指用于工程勘察工作的工程钻探、室内试验、原位测试及物探测试检测等设备仪器，不包括工程测量设备。</w:t>
            </w:r>
          </w:p>
          <w:p>
            <w:pPr>
              <w:rPr>
                <w:rFonts w:ascii="仿宋" w:hAnsi="仿宋" w:eastAsia="仿宋" w:cs="Times New Roman"/>
                <w:color w:val="000000"/>
                <w:szCs w:val="21"/>
              </w:rPr>
            </w:pPr>
            <w:r>
              <w:rPr>
                <w:rFonts w:hint="eastAsia" w:ascii="仿宋" w:hAnsi="仿宋" w:eastAsia="仿宋" w:cs="Times New Roman"/>
                <w:color w:val="000000"/>
                <w:szCs w:val="21"/>
              </w:rPr>
              <w:t>主要技术内容：1.工程勘察仪器设备分类及编码；2.现有仪器设备标准、仪器设备操作规程、仪器设备管理；3.工程勘察常用仪器设备监管及人员资质、上岗培训。</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工程勘察分会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重庆市勘测院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重庆市都安工程勘察技术咨询有限公司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建筑西南勘察设计研究院有限公司、机械工业勘察设计研究院有限公司、西北综合勘察设计研究院、北京市勘察设计研究院有限公司、建设综合勘察研究设计院有限公司、上海勘察设计研究院（集团）有限公司、中冀建勘集团有限公司、中国兵器工业北方勘察设计研究院、中南勘察设计院集团有限公司、深圳市勘察测绘院（集团）有限公司、深圳市勘察研究院有限公司、中冶武勘工程技术有限公司勘察设计院、广州市城市规划勘测设计研究院、中国有色金属工业昆明勘察设计研究院有限公司、甘肃中建市政工程勘察设计研究院有限公司、中国能源建设集团江苏省电力设计院有限公司、中船勘察设计研究院有限公司、辽宁有色勘察研究院有限责任公司、山东建勘集团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 xml:space="preserve">冯永能何 </w:t>
            </w:r>
            <w:r>
              <w:rPr>
                <w:rFonts w:ascii="仿宋" w:hAnsi="仿宋" w:eastAsia="仿宋" w:cs="Times New Roman"/>
                <w:color w:val="000000"/>
                <w:szCs w:val="21"/>
              </w:rPr>
              <w:t xml:space="preserve"> </w:t>
            </w:r>
            <w:r>
              <w:rPr>
                <w:rFonts w:hint="eastAsia" w:ascii="仿宋" w:hAnsi="仿宋" w:eastAsia="仿宋" w:cs="Times New Roman"/>
                <w:color w:val="000000"/>
                <w:szCs w:val="21"/>
              </w:rPr>
              <w:t>平</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8</w:t>
            </w:r>
          </w:p>
        </w:tc>
        <w:tc>
          <w:tcPr>
            <w:tcW w:w="1185" w:type="dxa"/>
            <w:tcBorders>
              <w:bottom w:val="single" w:color="auto" w:sz="4" w:space="0"/>
            </w:tcBorders>
            <w:noWrap w:val="0"/>
            <w:vAlign w:val="center"/>
          </w:tcPr>
          <w:p>
            <w:pPr>
              <w:rPr>
                <w:rFonts w:ascii="仿宋" w:hAnsi="仿宋" w:eastAsia="仿宋" w:cs="Times New Roman"/>
                <w:color w:val="000000"/>
                <w:szCs w:val="21"/>
              </w:rPr>
            </w:pPr>
            <w:r>
              <w:rPr>
                <w:rFonts w:ascii="仿宋" w:hAnsi="仿宋" w:eastAsia="仿宋" w:cs="Times New Roman"/>
                <w:color w:val="000000"/>
                <w:szCs w:val="21"/>
              </w:rPr>
              <w:t>安哥拉红砂地区地基基础技术标准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spacing w:line="280" w:lineRule="exact"/>
              <w:rPr>
                <w:rFonts w:ascii="仿宋" w:hAnsi="仿宋" w:eastAsia="仿宋" w:cs="Times New Roman"/>
                <w:color w:val="000000"/>
                <w:szCs w:val="21"/>
              </w:rPr>
            </w:pPr>
            <w:r>
              <w:rPr>
                <w:rFonts w:ascii="仿宋" w:hAnsi="仿宋" w:eastAsia="仿宋" w:cs="Times New Roman"/>
                <w:color w:val="000000"/>
                <w:szCs w:val="21"/>
              </w:rPr>
              <w:t>适用于安哥拉红砂地区建筑与市政工程的勘察、设计、施工、检验、使用与维护。</w:t>
            </w:r>
          </w:p>
          <w:p>
            <w:pPr>
              <w:spacing w:line="280" w:lineRule="exact"/>
              <w:rPr>
                <w:rFonts w:ascii="黑体" w:hAnsi="黑体" w:eastAsia="黑体" w:cs="Times New Roman"/>
                <w:sz w:val="32"/>
                <w:szCs w:val="32"/>
              </w:rPr>
            </w:pPr>
            <w:r>
              <w:rPr>
                <w:rFonts w:ascii="仿宋" w:hAnsi="仿宋" w:eastAsia="仿宋" w:cs="Times New Roman"/>
                <w:color w:val="000000"/>
                <w:szCs w:val="21"/>
              </w:rPr>
              <w:t>主要技术内容</w:t>
            </w:r>
            <w:r>
              <w:rPr>
                <w:rFonts w:hint="eastAsia" w:ascii="仿宋" w:hAnsi="仿宋" w:eastAsia="仿宋" w:cs="Times New Roman"/>
                <w:color w:val="000000"/>
                <w:szCs w:val="21"/>
              </w:rPr>
              <w:t>：</w:t>
            </w:r>
            <w:r>
              <w:rPr>
                <w:rFonts w:ascii="仿宋" w:hAnsi="仿宋" w:eastAsia="仿宋" w:cs="Times New Roman"/>
                <w:color w:val="000000"/>
                <w:szCs w:val="21"/>
              </w:rPr>
              <w:t>包括总则、术语和符号、基本规定、勘察、设计、地基处理、施工、验收与检验等。</w:t>
            </w:r>
            <w:r>
              <w:rPr>
                <w:rFonts w:hint="eastAsia" w:ascii="仿宋" w:hAnsi="仿宋" w:eastAsia="仿宋" w:cs="Times New Roman"/>
                <w:color w:val="000000"/>
                <w:szCs w:val="21"/>
              </w:rPr>
              <w:t>本标准将明确安哥拉红砂工程性质试验与评价的方法和要求，建筑、结构、市政、桩基设计的特殊要点，垫层法、强夯法地基处理的技术要求，地基基础和上部结构施工、检验和维护的技术要求等。</w:t>
            </w:r>
          </w:p>
        </w:tc>
        <w:tc>
          <w:tcPr>
            <w:tcW w:w="1063" w:type="dxa"/>
            <w:tcBorders>
              <w:bottom w:val="single" w:color="auto" w:sz="4" w:space="0"/>
            </w:tcBorders>
            <w:noWrap w:val="0"/>
            <w:vAlign w:val="center"/>
          </w:tcPr>
          <w:p>
            <w:pPr>
              <w:rPr>
                <w:rFonts w:ascii="仿宋" w:hAnsi="仿宋" w:eastAsia="仿宋" w:cs="Times New Roman"/>
                <w:color w:val="000000"/>
                <w:szCs w:val="21"/>
              </w:rPr>
            </w:pPr>
            <w:r>
              <w:rPr>
                <w:rFonts w:ascii="仿宋" w:hAnsi="仿宋" w:eastAsia="仿宋" w:cs="Times New Roman"/>
                <w:color w:val="000000"/>
                <w:szCs w:val="21"/>
              </w:rPr>
              <w:t>工程勘察分会</w:t>
            </w:r>
          </w:p>
        </w:tc>
        <w:tc>
          <w:tcPr>
            <w:tcW w:w="1422" w:type="dxa"/>
            <w:tcBorders>
              <w:bottom w:val="single" w:color="auto" w:sz="4" w:space="0"/>
            </w:tcBorders>
            <w:noWrap w:val="0"/>
            <w:vAlign w:val="center"/>
          </w:tcPr>
          <w:p>
            <w:pPr>
              <w:rPr>
                <w:rFonts w:ascii="仿宋" w:hAnsi="仿宋" w:eastAsia="仿宋" w:cs="Times New Roman"/>
                <w:color w:val="000000"/>
                <w:szCs w:val="21"/>
              </w:rPr>
            </w:pPr>
            <w:r>
              <w:rPr>
                <w:rFonts w:ascii="仿宋" w:hAnsi="仿宋" w:eastAsia="仿宋" w:cs="Times New Roman"/>
                <w:color w:val="000000"/>
                <w:szCs w:val="21"/>
              </w:rPr>
              <w:t>机械工业勘察设计研究院有限公司</w:t>
            </w:r>
          </w:p>
        </w:tc>
        <w:tc>
          <w:tcPr>
            <w:tcW w:w="4524" w:type="dxa"/>
            <w:tcBorders>
              <w:bottom w:val="single" w:color="auto" w:sz="4" w:space="0"/>
            </w:tcBorders>
            <w:noWrap w:val="0"/>
            <w:vAlign w:val="center"/>
          </w:tcPr>
          <w:p>
            <w:pPr>
              <w:jc w:val="left"/>
              <w:rPr>
                <w:rFonts w:ascii="仿宋" w:hAnsi="仿宋" w:eastAsia="仿宋" w:cs="Times New Roman"/>
                <w:color w:val="000000"/>
                <w:szCs w:val="21"/>
              </w:rPr>
            </w:pPr>
            <w:r>
              <w:rPr>
                <w:rFonts w:ascii="仿宋" w:hAnsi="仿宋" w:eastAsia="仿宋" w:cs="Times New Roman"/>
                <w:color w:val="000000"/>
                <w:szCs w:val="21"/>
              </w:rPr>
              <w:t>中国建筑科学研究院有限公司</w:t>
            </w:r>
            <w:r>
              <w:rPr>
                <w:rFonts w:hint="eastAsia" w:ascii="仿宋" w:hAnsi="仿宋" w:eastAsia="仿宋" w:cs="Times New Roman"/>
                <w:color w:val="000000"/>
                <w:szCs w:val="21"/>
              </w:rPr>
              <w:t>、</w:t>
            </w:r>
            <w:r>
              <w:rPr>
                <w:rFonts w:ascii="仿宋" w:hAnsi="仿宋" w:eastAsia="仿宋" w:cs="Times New Roman"/>
                <w:color w:val="000000"/>
                <w:szCs w:val="21"/>
              </w:rPr>
              <w:t>国机海南发展有限公司</w:t>
            </w:r>
            <w:r>
              <w:rPr>
                <w:rFonts w:hint="eastAsia" w:ascii="仿宋" w:hAnsi="仿宋" w:eastAsia="仿宋" w:cs="Times New Roman"/>
                <w:color w:val="000000"/>
                <w:szCs w:val="21"/>
              </w:rPr>
              <w:t>、</w:t>
            </w:r>
            <w:r>
              <w:rPr>
                <w:rFonts w:ascii="仿宋" w:hAnsi="仿宋" w:eastAsia="仿宋" w:cs="Times New Roman"/>
                <w:color w:val="000000"/>
                <w:szCs w:val="21"/>
              </w:rPr>
              <w:t>中机国际工程设计研究院有限责任公司</w:t>
            </w:r>
            <w:r>
              <w:rPr>
                <w:rFonts w:hint="eastAsia" w:ascii="仿宋" w:hAnsi="仿宋" w:eastAsia="仿宋" w:cs="Times New Roman"/>
                <w:color w:val="000000"/>
                <w:szCs w:val="21"/>
              </w:rPr>
              <w:t>、</w:t>
            </w:r>
            <w:r>
              <w:rPr>
                <w:rFonts w:ascii="仿宋" w:hAnsi="仿宋" w:eastAsia="仿宋" w:cs="Times New Roman"/>
                <w:color w:val="000000"/>
                <w:szCs w:val="21"/>
              </w:rPr>
              <w:t>中国昊远集团有限公司</w:t>
            </w:r>
            <w:r>
              <w:rPr>
                <w:rFonts w:hint="eastAsia" w:ascii="仿宋" w:hAnsi="仿宋" w:eastAsia="仿宋" w:cs="Times New Roman"/>
                <w:color w:val="000000"/>
                <w:szCs w:val="21"/>
              </w:rPr>
              <w:t>、</w:t>
            </w:r>
            <w:r>
              <w:rPr>
                <w:rFonts w:ascii="仿宋" w:hAnsi="仿宋" w:eastAsia="仿宋" w:cs="Times New Roman"/>
                <w:color w:val="000000"/>
                <w:szCs w:val="21"/>
              </w:rPr>
              <w:t>中国机械设备工程股份有限公司</w:t>
            </w:r>
          </w:p>
        </w:tc>
        <w:tc>
          <w:tcPr>
            <w:tcW w:w="858" w:type="dxa"/>
            <w:tcBorders>
              <w:bottom w:val="single" w:color="auto" w:sz="4" w:space="0"/>
            </w:tcBorders>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张</w:t>
            </w:r>
            <w:r>
              <w:rPr>
                <w:rFonts w:hint="eastAsia" w:ascii="仿宋" w:hAnsi="仿宋" w:eastAsia="仿宋" w:cs="Times New Roman"/>
                <w:color w:val="000000"/>
                <w:szCs w:val="21"/>
              </w:rPr>
              <w:t xml:space="preserve"> </w:t>
            </w:r>
            <w:r>
              <w:rPr>
                <w:rFonts w:ascii="仿宋" w:hAnsi="仿宋" w:eastAsia="仿宋" w:cs="Times New Roman"/>
                <w:color w:val="000000"/>
                <w:szCs w:val="21"/>
              </w:rPr>
              <w:t xml:space="preserve"> 炜</w:t>
            </w:r>
          </w:p>
        </w:tc>
        <w:tc>
          <w:tcPr>
            <w:tcW w:w="851" w:type="dxa"/>
            <w:tcBorders>
              <w:bottom w:val="single" w:color="auto" w:sz="4" w:space="0"/>
            </w:tcBorders>
            <w:noWrap w:val="0"/>
            <w:vAlign w:val="center"/>
          </w:tcPr>
          <w:p>
            <w:pPr>
              <w:jc w:val="center"/>
              <w:rPr>
                <w:rFonts w:ascii="仿宋" w:hAnsi="仿宋" w:eastAsia="仿宋" w:cs="Times New Roman"/>
                <w:color w:val="000000"/>
                <w:szCs w:val="21"/>
              </w:rPr>
            </w:pPr>
            <w:r>
              <w:rPr>
                <w:rFonts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9</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边坡监测技术标准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适用于边坡工程实例，结合现行国家、行业的规范和标准，重点关注边坡工程的监测工作。</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主要技术内容：1.边坡工程监测点的布置；2</w:t>
            </w:r>
            <w:r>
              <w:rPr>
                <w:rFonts w:ascii="仿宋" w:hAnsi="仿宋" w:eastAsia="仿宋" w:cs="Times New Roman"/>
                <w:color w:val="000000"/>
                <w:szCs w:val="21"/>
              </w:rPr>
              <w:t>.</w:t>
            </w:r>
            <w:r>
              <w:rPr>
                <w:rFonts w:hint="eastAsia" w:ascii="仿宋" w:hAnsi="仿宋" w:eastAsia="仿宋" w:cs="Times New Roman"/>
                <w:color w:val="000000"/>
                <w:szCs w:val="21"/>
              </w:rPr>
              <w:t>边坡工程监测方法；3</w:t>
            </w:r>
            <w:r>
              <w:rPr>
                <w:rFonts w:ascii="仿宋" w:hAnsi="仿宋" w:eastAsia="仿宋" w:cs="Times New Roman"/>
                <w:color w:val="000000"/>
                <w:szCs w:val="21"/>
              </w:rPr>
              <w:t>.</w:t>
            </w:r>
            <w:r>
              <w:rPr>
                <w:rFonts w:hint="eastAsia" w:ascii="仿宋" w:hAnsi="仿宋" w:eastAsia="仿宋" w:cs="Times New Roman"/>
                <w:color w:val="000000"/>
                <w:szCs w:val="21"/>
              </w:rPr>
              <w:t>边坡工程监测频率；4</w:t>
            </w:r>
            <w:r>
              <w:rPr>
                <w:rFonts w:ascii="仿宋" w:hAnsi="仿宋" w:eastAsia="仿宋" w:cs="Times New Roman"/>
                <w:color w:val="000000"/>
                <w:szCs w:val="21"/>
              </w:rPr>
              <w:t>.</w:t>
            </w:r>
            <w:r>
              <w:rPr>
                <w:rFonts w:hint="eastAsia" w:ascii="仿宋" w:hAnsi="仿宋" w:eastAsia="仿宋" w:cs="Times New Roman"/>
                <w:color w:val="000000"/>
                <w:szCs w:val="21"/>
              </w:rPr>
              <w:t>边坡工程监测预警指标等。</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工程勘察分会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中冶赛迪工程技术股份有限公司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重庆市建筑科学研究院有限公司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薛尚铃</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10</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下凹桥区内涝治理技术标准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适用于城市范围内新建、改建、扩建的下凹桥区的防涝规划设计。</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w:t>
            </w:r>
            <w:r>
              <w:rPr>
                <w:rFonts w:ascii="仿宋" w:hAnsi="仿宋" w:eastAsia="仿宋" w:cs="Times New Roman"/>
                <w:color w:val="000000"/>
                <w:szCs w:val="21"/>
              </w:rPr>
              <w:t>1.</w:t>
            </w:r>
            <w:r>
              <w:rPr>
                <w:rFonts w:hint="eastAsia" w:ascii="仿宋" w:hAnsi="仿宋" w:eastAsia="仿宋" w:cs="Times New Roman"/>
                <w:color w:val="000000"/>
                <w:szCs w:val="21"/>
              </w:rPr>
              <w:t>下凹桥区内涝治理的项目标准和通用标准。2</w:t>
            </w:r>
            <w:r>
              <w:rPr>
                <w:rFonts w:ascii="仿宋" w:hAnsi="仿宋" w:eastAsia="仿宋" w:cs="Times New Roman"/>
                <w:color w:val="000000"/>
                <w:szCs w:val="21"/>
              </w:rPr>
              <w:t>.</w:t>
            </w:r>
            <w:r>
              <w:rPr>
                <w:rFonts w:hint="eastAsia" w:ascii="仿宋" w:hAnsi="仿宋" w:eastAsia="仿宋" w:cs="Times New Roman"/>
                <w:color w:val="000000"/>
                <w:szCs w:val="21"/>
              </w:rPr>
              <w:t>现状调查技术要点：包括区域、现况桥区排水设施、桥区排水模式和系统组成、下游河道水系、区域降雨情况等相关规定。3</w:t>
            </w:r>
            <w:r>
              <w:rPr>
                <w:rFonts w:ascii="仿宋" w:hAnsi="仿宋" w:eastAsia="仿宋" w:cs="Times New Roman"/>
                <w:color w:val="000000"/>
                <w:szCs w:val="21"/>
              </w:rPr>
              <w:t>.</w:t>
            </w:r>
            <w:r>
              <w:rPr>
                <w:rFonts w:hint="eastAsia" w:ascii="仿宋" w:hAnsi="仿宋" w:eastAsia="仿宋" w:cs="Times New Roman"/>
                <w:color w:val="000000"/>
                <w:szCs w:val="21"/>
              </w:rPr>
              <w:t>各阶段积水风险评估体系：包括排水能力评估、影响排水关键因素、立交桥区积水风险评价等相关规定。4.内涝治理系统化技术体系：包括排水防涝系统数学模型构建、内涝治理工程措施技术规定（高水系统、低水系统、排水下游、客水治理、供电及监控设施等）、应急管理非工程措施（超标降雨标准下）等的相关技术规定。</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市政分会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北京市市政工程设计研究总院有限公司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中国城市规划设计研究院、中国市政工程华北设计研究总院有限公司、北京市城市规划设计研究院、北京建筑大学</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杨京生</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11</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生态项目低碳建设指南</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适用于填补生态空间在低碳建设标准方面的空白，并为新建、扩建、改建的生态工程提供规划、设计、建造及运维的指导。</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指南遵循碳排放控制、资源利用优化和生态系统保护等技术准则，涵盖低碳技术应用、固碳植物选择、碳足迹评估和碳汇建设等关键领域。技术要求包括提高能源利用效率、选择环境友好型材料、实施绿色施工及运维等方面。</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风景园林与生态环境分会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上海市园林设计研究总院有限公司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中国城市建设研究院有限公司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北京北林地景园林规划设计院有限责任公司、北京市园林古建设计研究院有限公司、上海建工集团股份有限公司、上海市建筑科学研究院有限公司、华东师范大学、杭州园林设计院股份有限公司、南京市园林规划设计院有限责任公司、湖南省建筑设计院集团股份有限公司、中国市政工程西南设计研究总院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吕志华</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12</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城市街景无障碍设计标准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适用于全国新建、改建和扩建的城市街景的设计。本标准遵循国家有关方针政策，</w:t>
            </w:r>
            <w:r>
              <w:rPr>
                <w:rFonts w:hint="eastAsia" w:ascii="仿宋" w:hAnsi="仿宋" w:eastAsia="仿宋" w:cs="Times New Roman"/>
                <w:color w:val="000000"/>
                <w:szCs w:val="21"/>
                <w:lang w:eastAsia="zh-CN"/>
              </w:rPr>
              <w:t>符合</w:t>
            </w:r>
            <w:r>
              <w:rPr>
                <w:rFonts w:hint="eastAsia" w:ascii="仿宋" w:hAnsi="仿宋" w:eastAsia="仿宋" w:cs="Times New Roman"/>
                <w:color w:val="000000"/>
                <w:szCs w:val="21"/>
              </w:rPr>
              <w:t>国家级行业现行有关标准的规定。</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主要技术内容：总则、术语、基本规定、特殊人群、人行道及非机动车道、街景空间、街道设施等。</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风景园林与生态环境分会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哈尔滨工业大学</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易兰规划设计院、苏州园林设计院股份有限公司、杭州园林设计院股份有限公司、SRC城市街景设计研究中心</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 xml:space="preserve">余 </w:t>
            </w:r>
            <w:r>
              <w:rPr>
                <w:rFonts w:ascii="仿宋" w:hAnsi="仿宋" w:eastAsia="仿宋" w:cs="Times New Roman"/>
                <w:color w:val="000000"/>
                <w:szCs w:val="21"/>
              </w:rPr>
              <w:t xml:space="preserve"> </w:t>
            </w:r>
            <w:r>
              <w:rPr>
                <w:rFonts w:hint="eastAsia" w:ascii="仿宋" w:hAnsi="仿宋" w:eastAsia="仿宋" w:cs="Times New Roman"/>
                <w:color w:val="000000"/>
                <w:szCs w:val="21"/>
              </w:rPr>
              <w:t>洋</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1</w:t>
            </w:r>
            <w:r>
              <w:rPr>
                <w:rFonts w:ascii="仿宋" w:hAnsi="仿宋" w:eastAsia="仿宋" w:cs="Times New Roman"/>
                <w:color w:val="000000"/>
                <w:szCs w:val="21"/>
              </w:rPr>
              <w:t>3</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通风空调系统自清洁设备应用技术规程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适用于新建和改造的通风空调系统中自清洁设备的选型、安装、调试、使用和维护。</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主要技术内容：规定通风空调系统自清洁设备的应用技术要求，确保设备的安装、调试、使用和维护符合规范，以保证系统的正常运行和良好的空气品质。</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三艾（广东）环境科技股份有限公司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广东省建筑设计研究院有限公司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广州地铁设计研究院股份有限公司、仲恺农业工程学院、五邑大学、中国医药集团联合工程有限公司、北京市轨道交通建设管理有限公司深圳市机场物业服务有限公司、中国对外贸易广州物业发展有限公司深圳市美兆环境股份有限公司、广州科慧能源有限公司、广东美的暖通设备有限公司、浙江盾安机电科技有限公司、广东同方瑞风节能科技股份有限公司、南京创元中央空调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丁力行仲 </w:t>
            </w:r>
            <w:r>
              <w:rPr>
                <w:rFonts w:ascii="仿宋" w:hAnsi="仿宋" w:eastAsia="仿宋" w:cs="Times New Roman"/>
                <w:color w:val="000000"/>
                <w:szCs w:val="21"/>
              </w:rPr>
              <w:t xml:space="preserve"> </w:t>
            </w:r>
            <w:r>
              <w:rPr>
                <w:rFonts w:hint="eastAsia" w:ascii="仿宋" w:hAnsi="仿宋" w:eastAsia="仿宋" w:cs="Times New Roman"/>
                <w:color w:val="000000"/>
                <w:szCs w:val="21"/>
              </w:rPr>
              <w:t>恺</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14</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既有公共建筑低碳改造技术规程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适用于既有建筑低碳改造工程的诊断、设计、施工、验收、运行维护和评价。规程的编制将深入贯彻国家有关建筑低碳和节能的法律法规和方针政策，推进既有建筑低碳改造工作。</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规程将重点针对既有建筑的特点，在保证室内环境的基础上，以降低既有建筑碳排放和能源消耗为控制目标。规程将重点阐述建筑的能源结构优化、能源利用效率提升内容。规程将明确既有建筑的勘察和诊断方法，明确改造手段和改造效果的评估准则。规程将基于有效减碳、技术可靠性、可操作性和经济性原则，针对各气候区及类型的既有建筑，阐述改造方案和技术措施体系。</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中国建筑西南设计研究院有限公司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中国建筑设计院有限公司、北京市建筑设计研究院有限公司、华东建筑设计研究院有限公司、中国建筑西北设计研究院有限公司、清华大学、重庆大学、中国建筑第三工程局有限公司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杨 </w:t>
            </w:r>
            <w:r>
              <w:rPr>
                <w:rFonts w:ascii="仿宋" w:hAnsi="仿宋" w:eastAsia="仿宋" w:cs="Times New Roman"/>
                <w:color w:val="000000"/>
                <w:szCs w:val="21"/>
              </w:rPr>
              <w:t xml:space="preserve"> </w:t>
            </w:r>
            <w:r>
              <w:rPr>
                <w:rFonts w:hint="eastAsia" w:ascii="仿宋" w:hAnsi="仿宋" w:eastAsia="仿宋" w:cs="Times New Roman"/>
                <w:color w:val="000000"/>
                <w:szCs w:val="21"/>
              </w:rPr>
              <w:t>玲</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exac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15</w:t>
            </w:r>
          </w:p>
        </w:tc>
        <w:tc>
          <w:tcPr>
            <w:tcW w:w="1185"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老旧小区绿色低碳改造技术标准</w:t>
            </w:r>
          </w:p>
        </w:tc>
        <w:tc>
          <w:tcPr>
            <w:tcW w:w="990"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适用于老旧小区绿色低碳改造建设和运营评价。</w:t>
            </w:r>
          </w:p>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主要技术内容：结合老旧小区建设运营特点，与现行国家《绿色建筑评价标准》充分衔接，初步确定从以下方面构建评价指标体系：1.安全耐久，2.健康舒适，3.生活便利，4.资源节约，5.环境宜居。</w:t>
            </w:r>
          </w:p>
        </w:tc>
        <w:tc>
          <w:tcPr>
            <w:tcW w:w="1063"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住房和城乡建设部科技与产业化发展中心</w:t>
            </w:r>
          </w:p>
        </w:tc>
        <w:tc>
          <w:tcPr>
            <w:tcW w:w="4524"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亚太建设科技信息研究院有限公司、愿景集团、北京绿色金融与可持续发展研究院、无锡市梁溪区住房和城乡建设局、北京旭曜建筑科技有限公司、上海开艺设计集团、中咨规划设计研究总院、北京清华同衡规划设计研究院有限公司、北京清动互联科技有限公司、北京建筑大学</w:t>
            </w:r>
          </w:p>
        </w:tc>
        <w:tc>
          <w:tcPr>
            <w:tcW w:w="858"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 xml:space="preserve">梁 </w:t>
            </w:r>
            <w:r>
              <w:rPr>
                <w:rFonts w:ascii="仿宋" w:hAnsi="仿宋" w:eastAsia="仿宋" w:cs="Times New Roman"/>
                <w:color w:val="000000"/>
                <w:szCs w:val="21"/>
              </w:rPr>
              <w:t xml:space="preserve"> </w:t>
            </w:r>
            <w:r>
              <w:rPr>
                <w:rFonts w:hint="eastAsia" w:ascii="仿宋" w:hAnsi="仿宋" w:eastAsia="仿宋" w:cs="Times New Roman"/>
                <w:color w:val="000000"/>
                <w:szCs w:val="21"/>
              </w:rPr>
              <w:t>浩</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16</w:t>
            </w:r>
          </w:p>
        </w:tc>
        <w:tc>
          <w:tcPr>
            <w:tcW w:w="1185"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高大空间侧向送风型供暖技术规程</w:t>
            </w:r>
          </w:p>
        </w:tc>
        <w:tc>
          <w:tcPr>
            <w:tcW w:w="990"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适用于新建、改建和扩建的公共建筑、工业建筑、民用建筑的高大空间侧向送风供暖（制冷）设备设计与安装。</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主要技术内容：总则、术语、基本规定、系统设计、施工与安装、电气控制、质量验收、运行与维护；及用词说明，引用标准名录，条文说明。</w:t>
            </w:r>
          </w:p>
        </w:tc>
        <w:tc>
          <w:tcPr>
            <w:tcW w:w="1063"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吉林省建苑设计集团有限公司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空军研究院工程设计研究所</w:t>
            </w:r>
          </w:p>
        </w:tc>
        <w:tc>
          <w:tcPr>
            <w:tcW w:w="4524"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航空规划设计研究总院有限公司、长春市绿帝散热器有限公司、中国电力顾问集团东北电力设计院有限公司、中水东北勘测设计研究有限责任公司、机械工业第九设计研究院股份有限公司、长春市建筑设计研究院</w:t>
            </w:r>
          </w:p>
        </w:tc>
        <w:tc>
          <w:tcPr>
            <w:tcW w:w="858"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 xml:space="preserve">褚 </w:t>
            </w:r>
            <w:r>
              <w:rPr>
                <w:rFonts w:ascii="仿宋" w:hAnsi="仿宋" w:eastAsia="仿宋" w:cs="Times New Roman"/>
                <w:color w:val="000000"/>
                <w:szCs w:val="21"/>
              </w:rPr>
              <w:t xml:space="preserve"> </w:t>
            </w:r>
            <w:r>
              <w:rPr>
                <w:rFonts w:hint="eastAsia" w:ascii="仿宋" w:hAnsi="仿宋" w:eastAsia="仿宋" w:cs="Times New Roman"/>
                <w:color w:val="000000"/>
                <w:szCs w:val="21"/>
              </w:rPr>
              <w:t>毅</w:t>
            </w:r>
          </w:p>
        </w:tc>
        <w:tc>
          <w:tcPr>
            <w:tcW w:w="851"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8" w:hRule="atLeas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17</w:t>
            </w:r>
          </w:p>
        </w:tc>
        <w:tc>
          <w:tcPr>
            <w:tcW w:w="1185"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高效空调系统能效监测与分级标准</w:t>
            </w:r>
          </w:p>
        </w:tc>
        <w:tc>
          <w:tcPr>
            <w:tcW w:w="990"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适用于电制冷水冷式集中空调系统的能效监测及评价。本标准可在高效集中空调系统的设计、施工、验收、运营阶段参照执行。</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以空调系统全局能效比作为能效监测及评价的主要指标。对于能效监测，制定测量内容、测量精度、数据存储等在内的系统能效比动态监测的技术规定，以确保空调系统能效比的测试结果真实反映系统效率水平，并对能效监测系统的运行维护及管理提出技术要求；对于能效评价，以能效分级为手段，对空调系统的能效水平进行判别，鼓励和促进高效空调系统的实施和应用。本标准的主要章节包括：总则、术语、基本规定、能效监测、能效分级、附录。</w:t>
            </w:r>
          </w:p>
        </w:tc>
        <w:tc>
          <w:tcPr>
            <w:tcW w:w="1063"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广州市设计院集团有限公司</w:t>
            </w:r>
          </w:p>
        </w:tc>
        <w:tc>
          <w:tcPr>
            <w:tcW w:w="4524"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合肥通用机电产品检测院有限公司、清华大学、北京市建筑设计研究院有限公司、华东建筑设计研究总院、北京工业大学、海南省设计研究院有限公司、中国建筑西南设计研究院有限公司、仲恺农业工程学院、吉林省建苑设计集团有限公司、湖南省建筑设计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集团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有限公司、中国建筑西北设计研究院有限公司、广州柏诚智能科技有限公司、</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青岛海尔空调电子有限公司、东莞空研冷却塔有限公司、广东新菱空调科技有限公司、广东美的暖通设备有限公司、珠海格力电器股份有限公司</w:t>
            </w:r>
          </w:p>
        </w:tc>
        <w:tc>
          <w:tcPr>
            <w:tcW w:w="858"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屈国伦</w:t>
            </w:r>
          </w:p>
        </w:tc>
        <w:tc>
          <w:tcPr>
            <w:tcW w:w="851"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18</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住宅排气道系统工程设计应用技术标准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适用于住宅厨房、卫生间通风换气集中式排气管道系统工程的设计、选用、施工与验收、运行管理，公寓等建筑亦可参照使用。</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主要技术内容：1.总则；2.术语；3.基本规定；4.设计；5.部件与材料；6.施工安装；7.测试；8.验收。本标准遵循的技术准则：1.通风系统应满足通风能力的基本要求。2.确保通风系统在发生火灾时，防止火灾蔓延。</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建筑环境与能源应用分会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北京市住宅产业化集团股份有限公司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北京金盾华通科技有限公司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北京国建住安环境科学技术研究中心、廊坊金盾华通科技有限公司、河北佳硕天呈建材科技有限公司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任成传</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19</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铁路能效监管系统设计规范</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适用于铁路新建、扩建和改建工程的能效监管系统的设计。</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主要技术内容：总则、术语、基本原则、系统架构、系统功能、系统性能、通信与接口、安全防护、设备布局与安装、信息采录、智慧运营等。</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智能分会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中铁第五勘察设计院集团有限公司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铁路经济规划研究院有限公司、中国铁路设计集团有限公司、中铁第一勘察设计院集团有限公司、中铁二院工程集团有限责任公司、中铁第四勘察设计院集团有限公司、中铁第六勘察设计院集团有限公司、中铁工程设计咨询集团有限公司、中铁上海设计院集团有限公司、长沙铁路供电段、北京博维亚讯技术有限公司</w:t>
            </w:r>
          </w:p>
        </w:tc>
        <w:tc>
          <w:tcPr>
            <w:tcW w:w="858" w:type="dxa"/>
            <w:noWrap w:val="0"/>
            <w:vAlign w:val="center"/>
          </w:tcPr>
          <w:p>
            <w:pPr>
              <w:spacing w:after="240"/>
              <w:jc w:val="center"/>
              <w:rPr>
                <w:rFonts w:ascii="仿宋" w:hAnsi="仿宋" w:eastAsia="仿宋" w:cs="Times New Roman"/>
                <w:color w:val="000000"/>
                <w:szCs w:val="21"/>
              </w:rPr>
            </w:pPr>
            <w:r>
              <w:rPr>
                <w:rFonts w:hint="eastAsia" w:ascii="仿宋" w:hAnsi="仿宋" w:eastAsia="仿宋" w:cs="Times New Roman"/>
                <w:color w:val="000000"/>
                <w:szCs w:val="21"/>
              </w:rPr>
              <w:t xml:space="preserve">䦹 </w:t>
            </w:r>
            <w:r>
              <w:rPr>
                <w:rFonts w:ascii="仿宋" w:hAnsi="仿宋" w:eastAsia="仿宋" w:cs="Times New Roman"/>
                <w:color w:val="000000"/>
                <w:szCs w:val="21"/>
              </w:rPr>
              <w:t xml:space="preserve"> </w:t>
            </w:r>
            <w:r>
              <w:rPr>
                <w:rFonts w:hint="eastAsia" w:ascii="仿宋" w:hAnsi="仿宋" w:eastAsia="仿宋" w:cs="Times New Roman"/>
                <w:color w:val="000000"/>
                <w:szCs w:val="21"/>
              </w:rPr>
              <w:t>頔</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20</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铁路10kV电缆故障智能诊断及定位技术标准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适用于新建、改建铁路电力电缆线路故障智能诊断及定位。</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主要技术内容：范围、规范性引用文件、术语和定义、一般要求、功能要求、性能要求、采集数据要求、安装间距要求。</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智能分会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中铁第五勘察设计院集团有限公司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铁路经济规划研究院有限公司、中国铁路设计集团有限公司、中铁第一勘察设计院集团有限公司、中铁二院工程集团有限责任公司、中铁第四勘察设计院集团有限公司、中铁第六勘察设计院集团有限公司、中铁工程设计咨询集团有限公司、北京东峰英杰科技有限公司、北京博维亚讯技术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䦹 </w:t>
            </w:r>
            <w:r>
              <w:rPr>
                <w:rFonts w:ascii="仿宋" w:hAnsi="仿宋" w:eastAsia="仿宋" w:cs="Times New Roman"/>
                <w:color w:val="000000"/>
                <w:szCs w:val="21"/>
              </w:rPr>
              <w:t xml:space="preserve"> </w:t>
            </w:r>
            <w:r>
              <w:rPr>
                <w:rFonts w:hint="eastAsia" w:ascii="仿宋" w:hAnsi="仿宋" w:eastAsia="仿宋" w:cs="Times New Roman"/>
                <w:color w:val="000000"/>
                <w:szCs w:val="21"/>
              </w:rPr>
              <w:t>頔</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21</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高校绿色改造指南</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适用于高等学校校园在进行修缮、改造、改建、扩建时的规划与建筑设计，特别是在绿色微更新和环境友好设计方面。</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前期方案阶段的总体规划、绿色及可持续公共配套设施要求，以及施工图阶段的节能环保设施选型设计、工程建设材料的环保选型要求。涵盖智能化建筑及环保标识设计注意事项、安装检验和现场环境影响验证等。</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高校分会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浙江大学建筑设计院有限公司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浙江大学</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陆 </w:t>
            </w:r>
            <w:r>
              <w:rPr>
                <w:rFonts w:ascii="仿宋" w:hAnsi="仿宋" w:eastAsia="仿宋" w:cs="Times New Roman"/>
                <w:color w:val="000000"/>
                <w:szCs w:val="21"/>
              </w:rPr>
              <w:t xml:space="preserve"> </w:t>
            </w:r>
            <w:r>
              <w:rPr>
                <w:rFonts w:hint="eastAsia" w:ascii="仿宋" w:hAnsi="仿宋" w:eastAsia="仿宋" w:cs="Times New Roman"/>
                <w:color w:val="000000"/>
                <w:szCs w:val="21"/>
              </w:rPr>
              <w:t>激</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22</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渠式切割预制装配式混凝土连续墙技术规程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适用于地下工程中渠式切割预制装配式混凝土连续墙的设计、施工和质量检验，且应符合国家和地方现行有关标准的规定。</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主要技术内容：渠式切割预制装配式混凝土连续墙可作基坑围护墙、防渗墙，也可两墙合一，兼作竖向承重构件；用于人工填土、淤泥和淤泥质土、黏性土、粉土、砂土和碎石土等地层。</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结构分会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浙江省建筑设计研究院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 xml:space="preserve">浙江大通建设科技有限公司 </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浙江大学、华东建筑设计研究院有限公司、浙江吉通地空建筑科技有限公司、浙江兆弟控股有限公司、浙江理工大学、浙江大学建筑设计研究院有限公司、上海申元岩土工程有限公司、浙江三拓建设科技有限公司、东通岩土科技股份有限公司</w:t>
            </w:r>
          </w:p>
        </w:tc>
        <w:tc>
          <w:tcPr>
            <w:tcW w:w="858"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刘兴旺</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23</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摩擦摆支座隔震技术规程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适用于对抗震设防烈度6度及以上地区采用摩擦摆支座的建筑工程隔震设计与施工。其他结构或设备采用摩擦摆支座进行隔震设计与施工，也可参照本规程执行。</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本规程的制定完善了摩擦摆隔震建筑的设计空白，弥补了通用隔震建筑设计标准中不能涵盖的设计细节，更具专业性，健全了摩擦摆隔震支座应用过程中的标准体系，有利于建筑摩擦摆隔震支座的应用推广。</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抗震防灾分会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中国建筑标准设计研究院有限公司</w:t>
            </w:r>
          </w:p>
        </w:tc>
        <w:tc>
          <w:tcPr>
            <w:tcW w:w="4524" w:type="dxa"/>
            <w:noWrap w:val="0"/>
            <w:vAlign w:val="center"/>
          </w:tcPr>
          <w:p>
            <w:pPr>
              <w:jc w:val="left"/>
              <w:rPr>
                <w:rFonts w:ascii="仿宋" w:hAnsi="仿宋" w:eastAsia="仿宋" w:cs="Times New Roman"/>
                <w:color w:val="000000"/>
                <w:szCs w:val="21"/>
              </w:rPr>
            </w:pPr>
            <w:r>
              <w:rPr>
                <w:rFonts w:hint="eastAsia" w:ascii="仿宋" w:hAnsi="仿宋" w:eastAsia="仿宋" w:cs="Times New Roman"/>
                <w:color w:val="000000"/>
                <w:szCs w:val="21"/>
              </w:rPr>
              <w:t>清华大学、哈尔滨工业大学、北京工业大学、兰州理工大学、云南省设计院集团、甘肃省建筑设计研究院、北方工程设计研究院</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郁银泉</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24</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防分离摩擦摆隔震支座</w:t>
            </w:r>
          </w:p>
        </w:tc>
        <w:tc>
          <w:tcPr>
            <w:tcW w:w="990"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适用于建筑及构筑物结构中所用的防分离摩擦摆隔震支座。</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主要技术内容：1.标记；结构及规格；2.一般要求；3.要求和试验方法；4.检验规则；等等。</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抗震防灾分会</w:t>
            </w:r>
          </w:p>
        </w:tc>
        <w:tc>
          <w:tcPr>
            <w:tcW w:w="1422"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中国建筑标准设计研究院有限公司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北京国标建安新材料有限公司</w:t>
            </w:r>
          </w:p>
        </w:tc>
        <w:tc>
          <w:tcPr>
            <w:tcW w:w="4524"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恒为检验检测认证（河北）集团有限公司</w:t>
            </w:r>
          </w:p>
        </w:tc>
        <w:tc>
          <w:tcPr>
            <w:tcW w:w="858"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郁银泉</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exac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25</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防沉降管道</w:t>
            </w:r>
          </w:p>
        </w:tc>
        <w:tc>
          <w:tcPr>
            <w:tcW w:w="990"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适用于新建、改建和扩建的防沉降管道工程的设计、施工、验收和维护。</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主要技术内容：包括但不限于</w:t>
            </w:r>
            <w:r>
              <w:rPr>
                <w:rFonts w:ascii="仿宋" w:hAnsi="仿宋" w:eastAsia="仿宋" w:cs="Times New Roman"/>
                <w:color w:val="000000"/>
                <w:szCs w:val="21"/>
              </w:rPr>
              <w:t>1.防沉降管道的设计原则，确保管道在施工和使用过程中的稳定性和安全性；2.施工过程中的防沉降措施，包括地基处理、管道铺设、连接和加固等；3.验收标准，明确工程完成时的检查和评估流程，确保管道工程符合设计和安全要求；4.维护管理，制定管道的定期检查、维修和更新计划，延长管道使用寿命，保障其正常运行。</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抗震防灾分会</w:t>
            </w:r>
          </w:p>
        </w:tc>
        <w:tc>
          <w:tcPr>
            <w:tcW w:w="1422" w:type="dxa"/>
            <w:tcBorders>
              <w:bottom w:val="single" w:color="auto" w:sz="4" w:space="0"/>
            </w:tcBorders>
            <w:noWrap w:val="0"/>
            <w:vAlign w:val="center"/>
          </w:tcPr>
          <w:p>
            <w:pPr>
              <w:widowControl/>
              <w:rPr>
                <w:rFonts w:hint="eastAsia" w:ascii="仿宋" w:hAnsi="仿宋" w:eastAsia="仿宋" w:cs="Times New Roman"/>
                <w:color w:val="000000"/>
                <w:szCs w:val="21"/>
                <w:lang w:eastAsia="zh-CN"/>
              </w:rPr>
            </w:pPr>
            <w:r>
              <w:rPr>
                <w:rFonts w:hint="eastAsia" w:ascii="仿宋" w:hAnsi="仿宋" w:eastAsia="仿宋" w:cs="Times New Roman"/>
                <w:color w:val="000000"/>
                <w:szCs w:val="21"/>
              </w:rPr>
              <w:t>中国建筑标准设计研究院有限公司</w:t>
            </w:r>
            <w:r>
              <w:rPr>
                <w:rFonts w:hint="eastAsia" w:ascii="仿宋" w:hAnsi="仿宋" w:eastAsia="仿宋" w:cs="Times New Roman"/>
                <w:color w:val="000000"/>
                <w:szCs w:val="21"/>
                <w:lang w:eastAsia="zh-CN"/>
              </w:rPr>
              <w:t>、</w:t>
            </w:r>
          </w:p>
          <w:p>
            <w:pPr>
              <w:widowControl/>
              <w:rPr>
                <w:rFonts w:ascii="仿宋" w:hAnsi="仿宋" w:eastAsia="仿宋" w:cs="Times New Roman"/>
                <w:color w:val="000000"/>
                <w:szCs w:val="21"/>
              </w:rPr>
            </w:pPr>
            <w:r>
              <w:rPr>
                <w:rFonts w:hint="eastAsia" w:ascii="仿宋" w:hAnsi="仿宋" w:eastAsia="仿宋" w:cs="Times New Roman"/>
                <w:color w:val="000000"/>
                <w:szCs w:val="21"/>
              </w:rPr>
              <w:t>北京国标建安新材料有限公司</w:t>
            </w:r>
          </w:p>
        </w:tc>
        <w:tc>
          <w:tcPr>
            <w:tcW w:w="4524"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固安兴达机械有限公司、江苏扬州合理橡胶制品有限公司、衡水震泰隔震器材有限公司</w:t>
            </w:r>
          </w:p>
        </w:tc>
        <w:tc>
          <w:tcPr>
            <w:tcW w:w="858"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邓 </w:t>
            </w:r>
            <w:r>
              <w:rPr>
                <w:rFonts w:ascii="仿宋" w:hAnsi="仿宋" w:eastAsia="仿宋" w:cs="Times New Roman"/>
                <w:color w:val="000000"/>
                <w:szCs w:val="21"/>
              </w:rPr>
              <w:t xml:space="preserve"> </w:t>
            </w:r>
            <w:r>
              <w:rPr>
                <w:rFonts w:hint="eastAsia" w:ascii="仿宋" w:hAnsi="仿宋" w:eastAsia="仿宋" w:cs="Times New Roman"/>
                <w:color w:val="000000"/>
                <w:szCs w:val="21"/>
              </w:rPr>
              <w:t>烜</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26</w:t>
            </w:r>
          </w:p>
        </w:tc>
        <w:tc>
          <w:tcPr>
            <w:tcW w:w="1185"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城市人民防空防护效能评估规程</w:t>
            </w:r>
          </w:p>
        </w:tc>
        <w:tc>
          <w:tcPr>
            <w:tcW w:w="990"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适用于全国人防重点城市内指导人民防空防护效能的评估，对于非人防重点城市也可参照执行。</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主要技术内容：从规模、结构、布局、质量、效率、保障等多角度对城市防空城市人防防护效能评估进行评估，包括构建评估体系、建立指标体系、规范评估方法、流程等主要内容。</w:t>
            </w:r>
          </w:p>
        </w:tc>
        <w:tc>
          <w:tcPr>
            <w:tcW w:w="1063"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人民防空与地下空间分会</w:t>
            </w:r>
          </w:p>
        </w:tc>
        <w:tc>
          <w:tcPr>
            <w:tcW w:w="1422"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中国建筑标准设计研究院有限公司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浙江省地下建筑设计研究院有限公司</w:t>
            </w:r>
          </w:p>
        </w:tc>
        <w:tc>
          <w:tcPr>
            <w:tcW w:w="4524"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浙江省新时代国防动员技术应用研究中心、浙江大学城乡规划设计研究院、中国美术学院风景建筑设计研究总院有限公司</w:t>
            </w:r>
          </w:p>
        </w:tc>
        <w:tc>
          <w:tcPr>
            <w:tcW w:w="858"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王 </w:t>
            </w:r>
            <w:r>
              <w:rPr>
                <w:rFonts w:ascii="仿宋" w:hAnsi="仿宋" w:eastAsia="仿宋" w:cs="Times New Roman"/>
                <w:color w:val="000000"/>
                <w:szCs w:val="21"/>
              </w:rPr>
              <w:t xml:space="preserve"> </w:t>
            </w:r>
            <w:r>
              <w:rPr>
                <w:rFonts w:hint="eastAsia" w:ascii="仿宋" w:hAnsi="仿宋" w:eastAsia="仿宋" w:cs="Times New Roman"/>
                <w:color w:val="000000"/>
                <w:szCs w:val="21"/>
              </w:rPr>
              <w:t>佳</w:t>
            </w:r>
          </w:p>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张芝霞</w:t>
            </w:r>
          </w:p>
        </w:tc>
        <w:tc>
          <w:tcPr>
            <w:tcW w:w="851"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27</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人民防空交通干支道工程设计标准</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适用于新建或改建的人民防空干（支）道工程设计。</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主要技术内容：技术准则是人</w:t>
            </w:r>
            <w:r>
              <w:rPr>
                <w:rFonts w:hint="eastAsia" w:ascii="仿宋" w:hAnsi="仿宋" w:eastAsia="仿宋" w:cs="Times New Roman"/>
                <w:color w:val="000000"/>
                <w:szCs w:val="21"/>
                <w:lang w:eastAsia="zh-CN"/>
              </w:rPr>
              <w:t>民</w:t>
            </w:r>
            <w:r>
              <w:rPr>
                <w:rFonts w:hint="eastAsia" w:ascii="仿宋" w:hAnsi="仿宋" w:eastAsia="仿宋" w:cs="Times New Roman"/>
                <w:color w:val="000000"/>
                <w:szCs w:val="21"/>
              </w:rPr>
              <w:t>防空干（支）工程设计必须坚持“长期准备、重点建设、平战结合”的方针，坚持人防建设与经济建设协调发展、与城市建设相结合的原则。</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人民防空与地下空间分会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同济大学建筑设计研究院（集团）有限公司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上海市民防协会、中国建筑标准设计研究院有限公司、上海市地下空间设计研究院有限公司、青岛市人防建筑设计研究院有限公司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梁颖元</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28</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城市人防工程规划编制技术导则</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适用于城市人防工程规划。</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拟编制，依据国家现行人民防空建设的相关规范以及有关改革发展动向，结合国土空间规划编制的技术规范、要求等进行制定，在全国设防城市适用，规范城市人防工程规划编制技术，确定规划编制的主要内容、深度等，填补政府标准在人民防空规划建设方面的空白，提升我国设防城市人防工程总体建设水平。</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人民防空与地下空间分会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中国建筑标准设计研究院有限公司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浙江省地下建筑设计研究院有限公司、苏交科集团股份有限公司、北规院弘都规划建筑设计研究院有限公司、中建三局集团有限公司、上海市地下空间设计研究总院有限公司、云南人防建筑设计院有限公司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徐欢欢</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29</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传统村落乡土建筑保护修复工作实施指南</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适用于对具有一般性保护价值、产权非公有的传统乡土建筑，由村民作为主体实施的保护修复工程。</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主要技术内容：规定了传统村落乡土建筑保护修复实施的基本要求，以及技术引导、修缮材料技术应用、施工组织和成本控制等关键环节的适宜性操作方法。</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传统建筑分会</w:t>
            </w:r>
          </w:p>
        </w:tc>
        <w:tc>
          <w:tcPr>
            <w:tcW w:w="1422" w:type="dxa"/>
            <w:noWrap w:val="0"/>
            <w:vAlign w:val="center"/>
          </w:tcPr>
          <w:p>
            <w:pPr>
              <w:widowControl/>
              <w:rPr>
                <w:rFonts w:hint="eastAsia" w:ascii="仿宋" w:hAnsi="仿宋" w:eastAsia="仿宋" w:cs="Times New Roman"/>
                <w:color w:val="000000"/>
                <w:szCs w:val="21"/>
                <w:lang w:eastAsia="zh-CN"/>
              </w:rPr>
            </w:pPr>
            <w:r>
              <w:rPr>
                <w:rFonts w:hint="eastAsia" w:ascii="仿宋" w:hAnsi="仿宋" w:eastAsia="仿宋" w:cs="Times New Roman"/>
                <w:color w:val="000000"/>
                <w:szCs w:val="21"/>
              </w:rPr>
              <w:t>浙江省古建筑设计研究院有限公司</w:t>
            </w:r>
            <w:r>
              <w:rPr>
                <w:rFonts w:hint="eastAsia" w:ascii="仿宋" w:hAnsi="仿宋" w:eastAsia="仿宋" w:cs="Times New Roman"/>
                <w:color w:val="000000"/>
                <w:szCs w:val="21"/>
                <w:lang w:eastAsia="zh-CN"/>
              </w:rPr>
              <w:t>、</w:t>
            </w:r>
          </w:p>
          <w:p>
            <w:pPr>
              <w:widowControl/>
              <w:rPr>
                <w:rFonts w:ascii="仿宋" w:hAnsi="仿宋" w:eastAsia="仿宋" w:cs="Times New Roman"/>
                <w:color w:val="000000"/>
                <w:szCs w:val="21"/>
              </w:rPr>
            </w:pPr>
            <w:r>
              <w:rPr>
                <w:rFonts w:hint="eastAsia" w:ascii="仿宋" w:hAnsi="仿宋" w:eastAsia="仿宋" w:cs="Times New Roman"/>
                <w:color w:val="000000"/>
                <w:szCs w:val="21"/>
              </w:rPr>
              <w:t>武汉理工大学</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中国文物保护基金会、湖北省古建筑保护中心（湖北明清古建筑博物馆）、松阳县旅游发展有限公司、武汉科技大学、中国建筑第三工程局集团有限公司、湖北省林业科学研究院</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卢远征</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30</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骑楼式建筑设计及维护导则</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适用于中国华南地区内的骑楼建筑设计和改造，包括传统骑楼的修缮、风貌管控和新建骑楼设计。</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主要技术内容：1.华南地区骑楼基因研究；2.传统骑楼修缮与改造导则；3.新建骑楼设计导则。</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传统建筑分会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广州市城市规划勘测设计研究院有限公司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华南理工大学、广东省建筑设计研究院有限公司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胡展鸿</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31</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城镇入河排口降雨污染净化技术规程</w:t>
            </w:r>
          </w:p>
        </w:tc>
        <w:tc>
          <w:tcPr>
            <w:tcW w:w="990"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适用于城镇入河排口降雨污染的特征识别、处理技术及设施选择、工程实施及快速启动和运行维护等。</w:t>
            </w:r>
          </w:p>
          <w:p>
            <w:pPr>
              <w:rPr>
                <w:rFonts w:ascii="仿宋" w:hAnsi="仿宋" w:eastAsia="仿宋" w:cs="Times New Roman"/>
                <w:color w:val="000000"/>
                <w:szCs w:val="21"/>
              </w:rPr>
            </w:pPr>
            <w:r>
              <w:rPr>
                <w:rFonts w:hint="eastAsia" w:ascii="仿宋" w:hAnsi="仿宋" w:eastAsia="仿宋" w:cs="Times New Roman"/>
                <w:color w:val="000000"/>
                <w:szCs w:val="21"/>
              </w:rPr>
              <w:t>主要技术内容：包括入河排口降雨污染特征识别、净化技术及设施遴选、工程落地实施、设施启动及日常运维模式等。</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水系统分会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中国市政工程华北设计研究总院有限公司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国家城市给水排水工程技术研究中心、长江生态环保集团有限公司、中建环能科技股份有限公司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孙永利</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32</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高品质饮用水全流程水质监测技术规程</w:t>
            </w:r>
          </w:p>
        </w:tc>
        <w:tc>
          <w:tcPr>
            <w:tcW w:w="990"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适用于供给高品质饮用水的城镇供水系统“从水源地到水龙头”全流程各环节水质管理及监测。</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主要技术内容：总则、术语、水质综合评价、全流程水质管理、全流程水质监测。</w:t>
            </w:r>
          </w:p>
        </w:tc>
        <w:tc>
          <w:tcPr>
            <w:tcW w:w="1063" w:type="dxa"/>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水系统分会</w:t>
            </w:r>
          </w:p>
        </w:tc>
        <w:tc>
          <w:tcPr>
            <w:tcW w:w="1422" w:type="dxa"/>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中国城市规划设计研究院</w:t>
            </w:r>
          </w:p>
        </w:tc>
        <w:tc>
          <w:tcPr>
            <w:tcW w:w="4524" w:type="dxa"/>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浙江大学、清华大学、中国科学院生态环境研究中心、中国疾病预防控制中心、山东省城市供排水水质监测中心、深圳市水务（集团）有限公司、嘉兴市水务投资集团有限公司</w:t>
            </w:r>
          </w:p>
        </w:tc>
        <w:tc>
          <w:tcPr>
            <w:tcW w:w="858" w:type="dxa"/>
            <w:tcBorders>
              <w:top w:val="single" w:color="auto" w:sz="4" w:space="0"/>
              <w:left w:val="nil"/>
              <w:bottom w:val="single" w:color="auto" w:sz="4" w:space="0"/>
              <w:right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林明利</w:t>
            </w:r>
          </w:p>
        </w:tc>
        <w:tc>
          <w:tcPr>
            <w:tcW w:w="851"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699"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33</w:t>
            </w:r>
          </w:p>
        </w:tc>
        <w:tc>
          <w:tcPr>
            <w:tcW w:w="1185" w:type="dxa"/>
            <w:tcBorders>
              <w:top w:val="nil"/>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城镇地下式给水厂技术规程</w:t>
            </w:r>
          </w:p>
        </w:tc>
        <w:tc>
          <w:tcPr>
            <w:tcW w:w="990" w:type="dxa"/>
            <w:tcBorders>
              <w:top w:val="nil"/>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bottom w:val="single" w:color="auto" w:sz="4" w:space="0"/>
            </w:tcBorders>
            <w:noWrap w:val="0"/>
            <w:vAlign w:val="center"/>
          </w:tcPr>
          <w:p>
            <w:pPr>
              <w:widowControl/>
              <w:spacing w:line="280" w:lineRule="exact"/>
              <w:rPr>
                <w:rFonts w:ascii="仿宋" w:hAnsi="仿宋" w:eastAsia="仿宋" w:cs="Times New Roman"/>
                <w:color w:val="000000"/>
                <w:szCs w:val="21"/>
              </w:rPr>
            </w:pPr>
            <w:r>
              <w:rPr>
                <w:rFonts w:hint="eastAsia" w:ascii="仿宋" w:hAnsi="仿宋" w:eastAsia="仿宋" w:cs="Times New Roman"/>
                <w:color w:val="000000"/>
                <w:szCs w:val="21"/>
              </w:rPr>
              <w:t>适用于新建、扩建或改建的城镇地下式给水厂的设计、施工、运行与维护。</w:t>
            </w:r>
          </w:p>
          <w:p>
            <w:pPr>
              <w:spacing w:line="280" w:lineRule="exact"/>
              <w:rPr>
                <w:rFonts w:ascii="黑体" w:hAnsi="黑体" w:eastAsia="黑体" w:cs="Times New Roman"/>
                <w:sz w:val="32"/>
                <w:szCs w:val="32"/>
              </w:rPr>
            </w:pPr>
            <w:r>
              <w:rPr>
                <w:rFonts w:hint="eastAsia" w:ascii="仿宋" w:hAnsi="仿宋" w:eastAsia="仿宋" w:cs="Times New Roman"/>
                <w:color w:val="000000"/>
                <w:szCs w:val="21"/>
              </w:rPr>
              <w:t>主要技术内容：对城镇地下式给水厂的设计、施工、验收、调试及运行维护中的设计参数和要点进行规定，并细化相关要求，以指导地下式给水厂的推广应用。</w:t>
            </w:r>
          </w:p>
        </w:tc>
        <w:tc>
          <w:tcPr>
            <w:tcW w:w="1063"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水系统分会</w:t>
            </w:r>
          </w:p>
        </w:tc>
        <w:tc>
          <w:tcPr>
            <w:tcW w:w="1422"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中国市政工程中南设计研究总院有限公司</w:t>
            </w:r>
          </w:p>
        </w:tc>
        <w:tc>
          <w:tcPr>
            <w:tcW w:w="4524"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海口市水务集团有限公司、西安水务（集团）有限责任公司、清华大学、中交第一航务工程局有限公司</w:t>
            </w:r>
          </w:p>
        </w:tc>
        <w:tc>
          <w:tcPr>
            <w:tcW w:w="858"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刘继先潘名宾</w:t>
            </w:r>
          </w:p>
        </w:tc>
        <w:tc>
          <w:tcPr>
            <w:tcW w:w="851"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34</w:t>
            </w:r>
          </w:p>
        </w:tc>
        <w:tc>
          <w:tcPr>
            <w:tcW w:w="1185"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降雨径流控制率测定技术规程</w:t>
            </w:r>
          </w:p>
        </w:tc>
        <w:tc>
          <w:tcPr>
            <w:tcW w:w="990"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适用于海绵城市建设效果评估，也可用于评估影响开发设施、海绵建设项目、排水分区、城市建成区是否达到设计径流提及控制规模、设计降雨量以及设计年径流总量控制率目标。</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主要技术内容：范围、规范性引用文件、术语和定义、基础规定、低影响开发设施、海绵建设项目、城市排水分区、城市建成区、监测计量、指标计算以及附录、用词说明、引用标准名录、条文说明。</w:t>
            </w:r>
          </w:p>
        </w:tc>
        <w:tc>
          <w:tcPr>
            <w:tcW w:w="1063"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水系统分会</w:t>
            </w:r>
          </w:p>
        </w:tc>
        <w:tc>
          <w:tcPr>
            <w:tcW w:w="1422"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中国城市规划设计研究院</w:t>
            </w:r>
          </w:p>
        </w:tc>
        <w:tc>
          <w:tcPr>
            <w:tcW w:w="4524"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北京建筑大学、中国城市建设研究院有限公司、北京清华同衡规划设计研究院有限公司、中规院（北京）规划设计有限公司、中国市政工程华北设计研究总院有限公司</w:t>
            </w:r>
          </w:p>
        </w:tc>
        <w:tc>
          <w:tcPr>
            <w:tcW w:w="858"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周广宇</w:t>
            </w:r>
          </w:p>
        </w:tc>
        <w:tc>
          <w:tcPr>
            <w:tcW w:w="851"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699"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35</w:t>
            </w:r>
          </w:p>
        </w:tc>
        <w:tc>
          <w:tcPr>
            <w:tcW w:w="1185"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污水处理厂低碳技术应用指南</w:t>
            </w:r>
          </w:p>
        </w:tc>
        <w:tc>
          <w:tcPr>
            <w:tcW w:w="990" w:type="dxa"/>
            <w:tcBorders>
              <w:top w:val="nil"/>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适用于城镇低碳污水处理厂新建、改建和扩建项目的设计与建设。</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主要技术内容：从污水处理节能降碳、污泥处理节能降碳、污水厂空间</w:t>
            </w:r>
            <w:r>
              <w:rPr>
                <w:rFonts w:hint="eastAsia" w:ascii="仿宋" w:hAnsi="仿宋" w:eastAsia="仿宋" w:cs="Times New Roman"/>
                <w:color w:val="000000"/>
                <w:szCs w:val="21"/>
                <w:lang w:eastAsia="zh-CN"/>
              </w:rPr>
              <w:t>利用</w:t>
            </w:r>
            <w:r>
              <w:rPr>
                <w:rFonts w:hint="eastAsia" w:ascii="仿宋" w:hAnsi="仿宋" w:eastAsia="仿宋" w:cs="Times New Roman"/>
                <w:color w:val="000000"/>
                <w:szCs w:val="21"/>
              </w:rPr>
              <w:t>等方面进行编制。1.污水处理节能降碳：（1）全流程水力优化节能，（2）选用高效节能电机、风机、水泵、照明器具及其他设备和配件，（3）推广污水源热泵技术，（4）推广智慧水务系统，（5）推广“光伏+”模式，（6）积极布局新型储能设施，（7）鼓励使用植物除臭剂、环保型絮凝剂等绿色新型药剂，（8）加强高效脱氮除磷等低碳技术应用，（9）尾水发电，（10）再生水回用。2.污泥处理节能降碳：（1）绿色低碳污泥干化、焚烧设备应用，（2）污泥沼气回收利用。（3）节地技术。</w:t>
            </w:r>
          </w:p>
        </w:tc>
        <w:tc>
          <w:tcPr>
            <w:tcW w:w="1063" w:type="dxa"/>
            <w:tcBorders>
              <w:top w:val="nil"/>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水系统分会</w:t>
            </w:r>
          </w:p>
        </w:tc>
        <w:tc>
          <w:tcPr>
            <w:tcW w:w="1422"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中交设计咨询集团股份有限公司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中国市政工程西南设计研究总院有限公司</w:t>
            </w:r>
          </w:p>
        </w:tc>
        <w:tc>
          <w:tcPr>
            <w:tcW w:w="4524" w:type="dxa"/>
            <w:tcBorders>
              <w:top w:val="nil"/>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中国市政工程东北设计研究总院有限公司、重庆大学、哈尔滨工业大学、四川大学、成都市兴蓉环境股份有限公司、苏伊士环境科技（北京）有限公司、东莞水务集团有限公司</w:t>
            </w:r>
          </w:p>
        </w:tc>
        <w:tc>
          <w:tcPr>
            <w:tcW w:w="858"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崔玉萍</w:t>
            </w:r>
          </w:p>
        </w:tc>
        <w:tc>
          <w:tcPr>
            <w:tcW w:w="851" w:type="dxa"/>
            <w:tcBorders>
              <w:top w:val="nil"/>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36</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城市设计技术指引</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适用于全国范围内，城市和县人民政府所在地建制镇开展的城市设计。</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遵循《中华人民共和国城乡规划法》等法律法规，以《城市设计管理办法》为纲领，以《国土空间规划城市设计指南》和各省市制定的城市设计技术管理规定为参考，在新时代国土空间规划体系下，充分发挥城市设计在国土空间品质提升中的重要作用，同时结合国内外城市设计行业新的发展趋势，制定适合我国规划管理体系的城市设计标准。</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城市设计分会</w:t>
            </w:r>
          </w:p>
        </w:tc>
        <w:tc>
          <w:tcPr>
            <w:tcW w:w="1422"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北京市建筑设计研究院股份有限公司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东南大学建筑设计研究院有限公司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中国城市规划设计研究院</w:t>
            </w:r>
          </w:p>
        </w:tc>
        <w:tc>
          <w:tcPr>
            <w:tcW w:w="4524" w:type="dxa"/>
            <w:tcBorders>
              <w:bottom w:val="single" w:color="auto" w:sz="4" w:space="0"/>
            </w:tcBorders>
            <w:noWrap w:val="0"/>
            <w:vAlign w:val="center"/>
          </w:tcPr>
          <w:p>
            <w:pPr>
              <w:widowControl/>
              <w:jc w:val="left"/>
              <w:rPr>
                <w:rFonts w:ascii="仿宋" w:hAnsi="仿宋" w:eastAsia="仿宋" w:cs="Times New Roman"/>
                <w:color w:val="000000"/>
                <w:szCs w:val="21"/>
              </w:rPr>
            </w:pPr>
            <w:r>
              <w:rPr>
                <w:rFonts w:hint="eastAsia" w:ascii="仿宋" w:hAnsi="仿宋" w:eastAsia="仿宋" w:cs="Times New Roman"/>
                <w:color w:val="000000"/>
                <w:szCs w:val="21"/>
              </w:rPr>
              <w:t>中国建筑西南设计研究院有限公司、中冶京诚工程技术有限公司</w:t>
            </w:r>
          </w:p>
        </w:tc>
        <w:tc>
          <w:tcPr>
            <w:tcW w:w="858"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张 </w:t>
            </w:r>
            <w:r>
              <w:rPr>
                <w:rFonts w:ascii="仿宋" w:hAnsi="仿宋" w:eastAsia="仿宋" w:cs="Times New Roman"/>
                <w:color w:val="000000"/>
                <w:szCs w:val="21"/>
              </w:rPr>
              <w:t xml:space="preserve"> </w:t>
            </w:r>
            <w:r>
              <w:rPr>
                <w:rFonts w:hint="eastAsia" w:ascii="仿宋" w:hAnsi="仿宋" w:eastAsia="仿宋" w:cs="Times New Roman"/>
                <w:color w:val="000000"/>
                <w:szCs w:val="21"/>
              </w:rPr>
              <w:t>宇</w:t>
            </w:r>
          </w:p>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韩冬青王 </w:t>
            </w:r>
            <w:r>
              <w:rPr>
                <w:rFonts w:ascii="仿宋" w:hAnsi="仿宋" w:eastAsia="仿宋" w:cs="Times New Roman"/>
                <w:color w:val="000000"/>
                <w:szCs w:val="21"/>
              </w:rPr>
              <w:t xml:space="preserve"> </w:t>
            </w:r>
            <w:r>
              <w:rPr>
                <w:rFonts w:hint="eastAsia" w:ascii="仿宋" w:hAnsi="仿宋" w:eastAsia="仿宋" w:cs="Times New Roman"/>
                <w:color w:val="000000"/>
                <w:szCs w:val="21"/>
              </w:rPr>
              <w:t>凯</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37</w:t>
            </w:r>
          </w:p>
        </w:tc>
        <w:tc>
          <w:tcPr>
            <w:tcW w:w="1185" w:type="dxa"/>
            <w:tcBorders>
              <w:top w:val="nil"/>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全过程工程咨询计价导则</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适用于包含建设工程在决策阶段、实施阶段和运维阶段各阶段的全部各项工程咨询服务收费。</w:t>
            </w:r>
          </w:p>
        </w:tc>
        <w:tc>
          <w:tcPr>
            <w:tcW w:w="1063" w:type="dxa"/>
            <w:tcBorders>
              <w:top w:val="nil"/>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工程造价工作委员会</w:t>
            </w:r>
          </w:p>
          <w:p>
            <w:pPr>
              <w:rPr>
                <w:rFonts w:ascii="仿宋" w:hAnsi="仿宋" w:eastAsia="仿宋" w:cs="Times New Roman"/>
                <w:color w:val="000000"/>
                <w:szCs w:val="21"/>
              </w:rPr>
            </w:pPr>
            <w:r>
              <w:rPr>
                <w:rFonts w:hint="eastAsia" w:ascii="仿宋" w:hAnsi="仿宋" w:eastAsia="仿宋" w:cs="Times New Roman"/>
                <w:color w:val="000000"/>
                <w:szCs w:val="21"/>
              </w:rPr>
              <w:t>全过程工程咨询分会</w:t>
            </w:r>
          </w:p>
        </w:tc>
        <w:tc>
          <w:tcPr>
            <w:tcW w:w="1422" w:type="dxa"/>
            <w:tcBorders>
              <w:top w:val="nil"/>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浙江省建筑设计研究院</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中国中建设计研究院有限公司</w:t>
            </w:r>
          </w:p>
        </w:tc>
        <w:tc>
          <w:tcPr>
            <w:tcW w:w="4524" w:type="dxa"/>
            <w:tcBorders>
              <w:top w:val="nil"/>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中冶京诚工程技术有限公司、广东省建筑设计研究院有限公司、杭州信达投资咨询估价监理有限公司、北京市建筑设计研究院有限公司、同济大学建筑设计研究院（集团）有限公司、北京市园林古建设计研究院有限公司、建设综合勘察研究设计院有限公司、北京市市政工程设计研究总院有限公司</w:t>
            </w:r>
          </w:p>
        </w:tc>
        <w:tc>
          <w:tcPr>
            <w:tcW w:w="858"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李江波宋晓蓉</w:t>
            </w:r>
          </w:p>
        </w:tc>
        <w:tc>
          <w:tcPr>
            <w:tcW w:w="851"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38</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矿山法隧道单层喷射混凝土衬砌技术标准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适用于轨道交通、公路、铁路、市政、电力、热力等矿山法隧道的设计和施工。</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主要技术内容：由总则、术语与符号、基本规定、荷载、材料、结构计算分析、单层衬砌结构设计、防水、施工、环境及风险控制、监控、质量与验收、附录。</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北京城建设计发展集团股份有限公司</w:t>
            </w:r>
          </w:p>
        </w:tc>
        <w:tc>
          <w:tcPr>
            <w:tcW w:w="4524"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北京城建轨道交通建设工程有限公司、西南交通大学、天津如米基业新材料有限公司、深圳市地铁集团有限公司</w:t>
            </w:r>
          </w:p>
        </w:tc>
        <w:tc>
          <w:tcPr>
            <w:tcW w:w="858"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贾永刚</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39</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预应力盾构隧道技术标准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适用于城市轨道交通、铁路、公路、市政等盾构法开挖的隧道工程。</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由适用范围、规范性引用文件、术语及定义、基本规定、荷载、材料、预应力盾构隧道结构计算、预应力盾构隧道结构设计、预应力盾构隧道结构抗震设计、管片制造、施工、监测组成。关键技术要求：尺寸、预应力、弯曲性能、抗拉强度、弹性模量、承载力等。</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北京城建设计发展集团股份有限公司</w:t>
            </w:r>
          </w:p>
        </w:tc>
        <w:tc>
          <w:tcPr>
            <w:tcW w:w="4524"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苏州市轨道交通集团有限公司、无锡地铁集团有限公司、南宁轨道交通建设有限公司、柳州欧维姆机械股份有限公司、贝卡尔特应用材料科技（上海）有限公司、同济大学</w:t>
            </w:r>
          </w:p>
        </w:tc>
        <w:tc>
          <w:tcPr>
            <w:tcW w:w="858"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贾永刚</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40</w:t>
            </w:r>
          </w:p>
        </w:tc>
        <w:tc>
          <w:tcPr>
            <w:tcW w:w="1185"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城市轨道交通车站行人仿真评估技术标准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适用于城市轨道交通车站新建和改扩建工程的前期研究、设计及运营阶段的车站客流仿真评估。</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主要技术内容：明确开展城市轨道车站行人仿真评估的基础条件，规范化车站行人仿真建模流程，仿真评估指标体系构建，制定仿真成果评估、应用的技术指引。</w:t>
            </w:r>
          </w:p>
        </w:tc>
        <w:tc>
          <w:tcPr>
            <w:tcW w:w="1063"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广州市交通规划研究院有限公司</w:t>
            </w:r>
          </w:p>
        </w:tc>
        <w:tc>
          <w:tcPr>
            <w:tcW w:w="4524"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北京城建交通设计研究院有限公司、广州地铁集团有限公司、中国铁路设计集团有限公司、同济大学、西南交通大学、深圳国家高技术产业创新中心（深圳发展改革研究院）、重庆市交通规划研究院</w:t>
            </w:r>
          </w:p>
        </w:tc>
        <w:tc>
          <w:tcPr>
            <w:tcW w:w="858"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徐士伟</w:t>
            </w:r>
          </w:p>
        </w:tc>
        <w:tc>
          <w:tcPr>
            <w:tcW w:w="851"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4</w:t>
            </w:r>
            <w:r>
              <w:rPr>
                <w:rFonts w:ascii="仿宋" w:hAnsi="仿宋" w:eastAsia="仿宋" w:cs="Times New Roman"/>
                <w:color w:val="000000"/>
                <w:szCs w:val="21"/>
              </w:rPr>
              <w:t>1</w:t>
            </w:r>
          </w:p>
        </w:tc>
        <w:tc>
          <w:tcPr>
            <w:tcW w:w="1185"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城市轨道交通智慧安检系统设计规范</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适用于城市轨道交通新线建设或既有线改造中智慧安检信息系统的设计、建设</w:t>
            </w:r>
            <w:r>
              <w:rPr>
                <w:rFonts w:hint="eastAsia" w:ascii="仿宋" w:hAnsi="仿宋" w:eastAsia="仿宋" w:cs="Times New Roman"/>
                <w:color w:val="000000"/>
                <w:szCs w:val="21"/>
                <w:lang w:eastAsia="zh-CN"/>
              </w:rPr>
              <w:t>以及</w:t>
            </w:r>
            <w:r>
              <w:rPr>
                <w:rFonts w:hint="eastAsia" w:ascii="仿宋" w:hAnsi="仿宋" w:eastAsia="仿宋" w:cs="Times New Roman"/>
                <w:color w:val="000000"/>
                <w:szCs w:val="21"/>
              </w:rPr>
              <w:t>智慧安检信息系统软件功能开发等。</w:t>
            </w:r>
          </w:p>
          <w:p>
            <w:pPr>
              <w:rPr>
                <w:rFonts w:ascii="仿宋" w:hAnsi="仿宋" w:eastAsia="仿宋" w:cs="Times New Roman"/>
                <w:color w:val="000000"/>
                <w:szCs w:val="21"/>
              </w:rPr>
            </w:pPr>
            <w:r>
              <w:rPr>
                <w:rFonts w:hint="eastAsia" w:ascii="仿宋" w:hAnsi="仿宋" w:eastAsia="仿宋" w:cs="Times New Roman"/>
                <w:color w:val="000000"/>
                <w:szCs w:val="21"/>
              </w:rPr>
              <w:t>主要技术内容：包含以下四部分，系统架构及总体需求，应用功能要求，数据要求，终端设备要求。</w:t>
            </w:r>
          </w:p>
        </w:tc>
        <w:tc>
          <w:tcPr>
            <w:tcW w:w="1063"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广州地铁设计研究院股份有限公司</w:t>
            </w:r>
          </w:p>
        </w:tc>
        <w:tc>
          <w:tcPr>
            <w:tcW w:w="4524" w:type="dxa"/>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广州地铁集团有限公司、广州广电运通智能科技有限公司</w:t>
            </w:r>
          </w:p>
        </w:tc>
        <w:tc>
          <w:tcPr>
            <w:tcW w:w="858"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湛维昭</w:t>
            </w:r>
          </w:p>
        </w:tc>
        <w:tc>
          <w:tcPr>
            <w:tcW w:w="851" w:type="dxa"/>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699"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4</w:t>
            </w:r>
            <w:r>
              <w:rPr>
                <w:rFonts w:ascii="仿宋" w:hAnsi="仿宋" w:eastAsia="仿宋" w:cs="Times New Roman"/>
                <w:color w:val="000000"/>
                <w:szCs w:val="21"/>
              </w:rPr>
              <w:t>2</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棚盖法技术标准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适用于城市轨道交通及城市大型地下空间建设。</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包含棚盖法勘察、设计、施工、监测、风险及碳排放控制等方面的内容。遵循现有轨道交通及地下空间技术标准的基础上进行本标准的编制。主要技术要求围绕棚盖法的关键技术展开，围绕其变形及受力特点展开。</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北京城建设计发展集团股份有限公司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北京轨道交通建设管理有限公司、北京城市快轨建设管理有限公司、北京交通大学、东南大学、北京地铁运营公司、北京市轨道交通设计研究院、中铁隧道局集团有限公司、北京工业大学、</w:t>
            </w:r>
            <w:r>
              <w:rPr>
                <w:rFonts w:hint="eastAsia" w:ascii="仿宋" w:hAnsi="仿宋" w:eastAsia="仿宋" w:cs="Times New Roman"/>
                <w:color w:val="000000"/>
                <w:szCs w:val="21"/>
                <w:lang w:eastAsia="zh-CN"/>
              </w:rPr>
              <w:t>中铁十四局</w:t>
            </w:r>
            <w:r>
              <w:rPr>
                <w:rFonts w:hint="eastAsia" w:ascii="仿宋" w:hAnsi="仿宋" w:eastAsia="仿宋" w:cs="Times New Roman"/>
                <w:color w:val="000000"/>
                <w:szCs w:val="21"/>
              </w:rPr>
              <w:t>集团有限公司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曾德光</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43</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城市轨道交通电化学储能系统标准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spacing w:line="320" w:lineRule="exact"/>
              <w:rPr>
                <w:rFonts w:ascii="仿宋" w:hAnsi="仿宋" w:eastAsia="仿宋" w:cs="Times New Roman"/>
                <w:color w:val="000000"/>
                <w:szCs w:val="21"/>
              </w:rPr>
            </w:pPr>
            <w:r>
              <w:rPr>
                <w:rFonts w:hint="eastAsia" w:ascii="仿宋" w:hAnsi="仿宋" w:eastAsia="仿宋" w:cs="Times New Roman"/>
                <w:color w:val="000000"/>
                <w:szCs w:val="21"/>
              </w:rPr>
              <w:t>适用于轨道交通行业地下储能空间应用场景中电化学储能电站系统设计、制造、试验、检测、运行、维护和检修。</w:t>
            </w:r>
          </w:p>
          <w:p>
            <w:pPr>
              <w:widowControl/>
              <w:spacing w:line="320" w:lineRule="exact"/>
              <w:rPr>
                <w:rFonts w:ascii="仿宋" w:hAnsi="仿宋" w:eastAsia="仿宋" w:cs="Times New Roman"/>
                <w:color w:val="000000"/>
                <w:szCs w:val="21"/>
              </w:rPr>
            </w:pPr>
            <w:r>
              <w:rPr>
                <w:rFonts w:hint="eastAsia" w:ascii="仿宋" w:hAnsi="仿宋" w:eastAsia="仿宋" w:cs="Times New Roman"/>
                <w:color w:val="000000"/>
                <w:szCs w:val="21"/>
              </w:rPr>
              <w:t>主要技术内容：规定了城市轨道交通电化学储能系统的系统架构、使用条件、系统功能、主要设备、试验监测、标识和储运以及运行维护的要求。</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轨道交通分会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北京城建设计发展集团股份有限公司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京杭绿能科技股份有限公司、长兴太湖能谷科技有限公司、上海电气集团输配电装备有限公司、云南京建轨道交通投资建设有限公司、西安市轨道交通集团有限公司、长春市轨道交通集团有限公司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李金龙</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6" w:hRule="exact"/>
          <w:jc w:val="center"/>
        </w:trPr>
        <w:tc>
          <w:tcPr>
            <w:tcW w:w="699" w:type="dxa"/>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44</w:t>
            </w:r>
          </w:p>
        </w:tc>
        <w:tc>
          <w:tcPr>
            <w:tcW w:w="1185"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工程勘察设计企业数字化转型成熟度模型</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工程勘察类设计类企业，旨在为企业推行数字化转型提供一套评估系统、组织、项目或技术管理的框架，为工程勘察设计企业识别数字化能力、开展数字化转型规划提供指导，为实施数字化能力持续改善活动、制定相关决策提供参考依据。</w:t>
            </w:r>
          </w:p>
          <w:p>
            <w:pPr>
              <w:widowControl/>
              <w:rPr>
                <w:rFonts w:ascii="仿宋" w:hAnsi="仿宋" w:eastAsia="仿宋" w:cs="Times New Roman"/>
                <w:color w:val="000000"/>
                <w:szCs w:val="21"/>
              </w:rPr>
            </w:pPr>
            <w:r>
              <w:rPr>
                <w:rFonts w:hint="eastAsia" w:ascii="仿宋" w:hAnsi="仿宋" w:eastAsia="仿宋" w:cs="Times New Roman"/>
                <w:color w:val="000000"/>
                <w:szCs w:val="21"/>
              </w:rPr>
              <w:t>主要技术内容：总则、术语和缩略语、基本规定、成熟度模型、成熟度要求。</w:t>
            </w:r>
          </w:p>
        </w:tc>
        <w:tc>
          <w:tcPr>
            <w:tcW w:w="1063"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信息化工作委员会</w:t>
            </w:r>
          </w:p>
        </w:tc>
        <w:tc>
          <w:tcPr>
            <w:tcW w:w="1422"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中国石化工程建设有限公司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国机工业互联网研究院（河南）有限公司</w:t>
            </w:r>
          </w:p>
        </w:tc>
        <w:tc>
          <w:tcPr>
            <w:tcW w:w="4524" w:type="dxa"/>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机械工业第六设计研究院有限公司、中国兵器工业勘察设计研究院、华东建筑集团股份有限公司、中国电力建设集团华东勘测设计研究院、中国铁路设计集团有限公司、北京市市政工程设计研究总院有限公司、中冶京城工程技术有限公司、水利部水利水电规划设计总院、中交公路规划设计院有限公司、同济大学建筑设计研究院（集团）有限公司、北京城建设计发展集团股份有限公司、香港华艺设计顾问（深圳）有限公司、西门子工业软件（上海）有限公司、北京市华思维软件技术有限公司、北京达美盛软件股份有限公司、广州中望龙腾软件股份有限公司、中设数字技术股份有限公司、广联达科技股份有限公司、北京构力科技有限公司</w:t>
            </w:r>
          </w:p>
        </w:tc>
        <w:tc>
          <w:tcPr>
            <w:tcW w:w="858"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 xml:space="preserve">李 </w:t>
            </w:r>
            <w:r>
              <w:rPr>
                <w:rFonts w:ascii="仿宋" w:hAnsi="仿宋" w:eastAsia="仿宋" w:cs="Times New Roman"/>
                <w:color w:val="000000"/>
                <w:szCs w:val="21"/>
              </w:rPr>
              <w:t xml:space="preserve"> </w:t>
            </w:r>
            <w:r>
              <w:rPr>
                <w:rFonts w:hint="eastAsia" w:ascii="仿宋" w:hAnsi="仿宋" w:eastAsia="仿宋" w:cs="Times New Roman"/>
                <w:color w:val="000000"/>
                <w:szCs w:val="21"/>
              </w:rPr>
              <w:t>浩</w:t>
            </w:r>
          </w:p>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朱恺真</w:t>
            </w:r>
          </w:p>
        </w:tc>
        <w:tc>
          <w:tcPr>
            <w:tcW w:w="851" w:type="dxa"/>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45</w:t>
            </w:r>
          </w:p>
        </w:tc>
        <w:tc>
          <w:tcPr>
            <w:tcW w:w="1185"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旱雪滑雪场设计标准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适用于新建、改建、扩建旱雪滑雪场设计。</w:t>
            </w:r>
          </w:p>
          <w:p>
            <w:pPr>
              <w:rPr>
                <w:rFonts w:ascii="仿宋" w:hAnsi="仿宋" w:eastAsia="仿宋" w:cs="Times New Roman"/>
                <w:color w:val="000000"/>
                <w:szCs w:val="21"/>
              </w:rPr>
            </w:pPr>
            <w:r>
              <w:rPr>
                <w:rFonts w:hint="eastAsia" w:ascii="仿宋" w:hAnsi="仿宋" w:eastAsia="仿宋" w:cs="Times New Roman"/>
                <w:color w:val="000000"/>
                <w:szCs w:val="21"/>
              </w:rPr>
              <w:t>主要技术内容：旱雪滑雪场设计应遵循安全、适用、经济、绿色、美观的原则。旱雪滑雪场设计同时还要遵循《中国滑雪场所管理规范》等国家其他相关标准、规范的规定。</w:t>
            </w:r>
          </w:p>
        </w:tc>
        <w:tc>
          <w:tcPr>
            <w:tcW w:w="1063"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科技创新工作委员会</w:t>
            </w:r>
          </w:p>
        </w:tc>
        <w:tc>
          <w:tcPr>
            <w:tcW w:w="1422"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清华大学建筑设计研究院有限公司</w:t>
            </w:r>
          </w:p>
        </w:tc>
        <w:tc>
          <w:tcPr>
            <w:tcW w:w="4524" w:type="dxa"/>
            <w:tcBorders>
              <w:bottom w:val="single" w:color="auto" w:sz="4" w:space="0"/>
            </w:tcBorders>
            <w:noWrap w:val="0"/>
            <w:vAlign w:val="center"/>
          </w:tcPr>
          <w:p>
            <w:pPr>
              <w:rPr>
                <w:rFonts w:ascii="仿宋" w:hAnsi="仿宋" w:eastAsia="仿宋" w:cs="Times New Roman"/>
                <w:color w:val="000000"/>
                <w:szCs w:val="21"/>
              </w:rPr>
            </w:pPr>
            <w:r>
              <w:rPr>
                <w:rFonts w:hint="eastAsia" w:ascii="仿宋" w:hAnsi="仿宋" w:eastAsia="仿宋" w:cs="Times New Roman"/>
                <w:color w:val="000000"/>
                <w:szCs w:val="21"/>
              </w:rPr>
              <w:t>北京体育大学、沈阳体育学院、北京奔流极限运动中心有限公司、大雪堆（北京）体育科技有限公司、张家口中雪众源山地旅游规划设计有限公司、中铁十六局路桥公司、中体善建体育产业有限公司</w:t>
            </w:r>
          </w:p>
        </w:tc>
        <w:tc>
          <w:tcPr>
            <w:tcW w:w="858"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张铭琦</w:t>
            </w:r>
          </w:p>
        </w:tc>
        <w:tc>
          <w:tcPr>
            <w:tcW w:w="851"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jc w:val="center"/>
        </w:trPr>
        <w:tc>
          <w:tcPr>
            <w:tcW w:w="699"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46</w:t>
            </w:r>
          </w:p>
        </w:tc>
        <w:tc>
          <w:tcPr>
            <w:tcW w:w="1185"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房屋建筑信息模型施工图审查数据标准</w:t>
            </w:r>
          </w:p>
        </w:tc>
        <w:tc>
          <w:tcPr>
            <w:tcW w:w="990" w:type="dxa"/>
            <w:tcBorders>
              <w:top w:val="single" w:color="auto" w:sz="4" w:space="0"/>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适用于新建、改建和扩建房屋建筑工程项目建筑信息审查子模型的创建、交付、检查和在房屋建筑工程施工图审查阶段的应用。</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主要技术内容：包括模型文件要求、模型要求、模型单元要求，模型需求附表及数字化规则附件。</w:t>
            </w:r>
          </w:p>
        </w:tc>
        <w:tc>
          <w:tcPr>
            <w:tcW w:w="1063"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标准化工作委员会</w:t>
            </w:r>
          </w:p>
        </w:tc>
        <w:tc>
          <w:tcPr>
            <w:tcW w:w="1422"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清华大学</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中国建筑标准设计研究院有限公司</w:t>
            </w:r>
          </w:p>
        </w:tc>
        <w:tc>
          <w:tcPr>
            <w:tcW w:w="4524" w:type="dxa"/>
            <w:tcBorders>
              <w:bottom w:val="single" w:color="auto" w:sz="4" w:space="0"/>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数云科际</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深圳</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技术有限公司、上海天华建筑设计有限公司、深圳市智慧城市科技发展集团有限公司、北京首通智城科技创新有限责任公司</w:t>
            </w:r>
          </w:p>
        </w:tc>
        <w:tc>
          <w:tcPr>
            <w:tcW w:w="858" w:type="dxa"/>
            <w:tcBorders>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 xml:space="preserve">顾 </w:t>
            </w:r>
            <w:r>
              <w:rPr>
                <w:rFonts w:ascii="仿宋" w:hAnsi="仿宋" w:eastAsia="仿宋" w:cs="Times New Roman"/>
                <w:color w:val="000000"/>
                <w:szCs w:val="21"/>
              </w:rPr>
              <w:t xml:space="preserve"> </w:t>
            </w:r>
            <w:r>
              <w:rPr>
                <w:rFonts w:hint="eastAsia" w:ascii="仿宋" w:hAnsi="仿宋" w:eastAsia="仿宋" w:cs="Times New Roman"/>
                <w:color w:val="000000"/>
                <w:szCs w:val="21"/>
              </w:rPr>
              <w:t>明</w:t>
            </w:r>
          </w:p>
        </w:tc>
        <w:tc>
          <w:tcPr>
            <w:tcW w:w="851" w:type="dxa"/>
            <w:tcBorders>
              <w:bottom w:val="single" w:color="auto" w:sz="4" w:space="0"/>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jc w:val="center"/>
        </w:trPr>
        <w:tc>
          <w:tcPr>
            <w:tcW w:w="699" w:type="dxa"/>
            <w:tcBorders>
              <w:top w:val="nil"/>
            </w:tcBorders>
            <w:noWrap w:val="0"/>
            <w:vAlign w:val="center"/>
          </w:tcPr>
          <w:p>
            <w:pPr>
              <w:widowControl/>
              <w:jc w:val="center"/>
              <w:rPr>
                <w:rFonts w:ascii="仿宋" w:hAnsi="仿宋" w:eastAsia="仿宋" w:cs="Times New Roman"/>
                <w:color w:val="000000"/>
                <w:szCs w:val="21"/>
              </w:rPr>
            </w:pPr>
            <w:r>
              <w:rPr>
                <w:rFonts w:ascii="仿宋" w:hAnsi="仿宋" w:eastAsia="仿宋" w:cs="Times New Roman"/>
                <w:color w:val="000000"/>
                <w:szCs w:val="21"/>
              </w:rPr>
              <w:t>47</w:t>
            </w:r>
          </w:p>
        </w:tc>
        <w:tc>
          <w:tcPr>
            <w:tcW w:w="1185"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房屋建筑信息模型施工图审查字典标准</w:t>
            </w:r>
          </w:p>
        </w:tc>
        <w:tc>
          <w:tcPr>
            <w:tcW w:w="990" w:type="dxa"/>
            <w:tcBorders>
              <w:top w:val="nil"/>
              <w:bottom w:val="single" w:color="auto" w:sz="4" w:space="0"/>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制订</w:t>
            </w:r>
          </w:p>
        </w:tc>
        <w:tc>
          <w:tcPr>
            <w:tcW w:w="3996"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适用于项目中全生命期信息模型对象的分类和编码，以及为BIM技术应用提供统一的术语定义与数据标记。</w:t>
            </w:r>
            <w:r>
              <w:rPr>
                <w:rFonts w:hint="eastAsia" w:ascii="仿宋" w:hAnsi="仿宋" w:eastAsia="仿宋" w:cs="Times New Roman"/>
                <w:color w:val="000000"/>
                <w:szCs w:val="21"/>
              </w:rPr>
              <w:br w:type="textWrapping"/>
            </w:r>
            <w:r>
              <w:rPr>
                <w:rFonts w:hint="eastAsia" w:ascii="仿宋" w:hAnsi="仿宋" w:eastAsia="仿宋" w:cs="Times New Roman"/>
                <w:color w:val="000000"/>
                <w:szCs w:val="21"/>
              </w:rPr>
              <w:t>主要技术内容：规定了房屋建筑工程项目各方主体提交的建筑信息模型中涉及的对象分类和编码及常用领域术语，统一对象的语义信息。标准的核心内容包括字典技术要求、字典数字化表示，及字典附表。</w:t>
            </w:r>
          </w:p>
        </w:tc>
        <w:tc>
          <w:tcPr>
            <w:tcW w:w="1063"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标准化工作委员会</w:t>
            </w:r>
          </w:p>
        </w:tc>
        <w:tc>
          <w:tcPr>
            <w:tcW w:w="1422"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中国建筑标准设计研究院有限公司</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清华大学</w:t>
            </w:r>
          </w:p>
        </w:tc>
        <w:tc>
          <w:tcPr>
            <w:tcW w:w="4524" w:type="dxa"/>
            <w:tcBorders>
              <w:top w:val="nil"/>
            </w:tcBorders>
            <w:noWrap w:val="0"/>
            <w:vAlign w:val="center"/>
          </w:tcPr>
          <w:p>
            <w:pPr>
              <w:widowControl/>
              <w:rPr>
                <w:rFonts w:ascii="仿宋" w:hAnsi="仿宋" w:eastAsia="仿宋" w:cs="Times New Roman"/>
                <w:color w:val="000000"/>
                <w:szCs w:val="21"/>
              </w:rPr>
            </w:pPr>
            <w:r>
              <w:rPr>
                <w:rFonts w:hint="eastAsia" w:ascii="仿宋" w:hAnsi="仿宋" w:eastAsia="仿宋" w:cs="Times New Roman"/>
                <w:color w:val="000000"/>
                <w:szCs w:val="21"/>
              </w:rPr>
              <w:t>数云科际</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深圳</w:t>
            </w:r>
            <w:r>
              <w:rPr>
                <w:rFonts w:hint="eastAsia" w:ascii="仿宋" w:hAnsi="仿宋" w:eastAsia="仿宋" w:cs="Times New Roman"/>
                <w:color w:val="000000"/>
                <w:szCs w:val="21"/>
                <w:lang w:eastAsia="zh-CN"/>
              </w:rPr>
              <w:t>）</w:t>
            </w:r>
            <w:r>
              <w:rPr>
                <w:rFonts w:hint="eastAsia" w:ascii="仿宋" w:hAnsi="仿宋" w:eastAsia="仿宋" w:cs="Times New Roman"/>
                <w:color w:val="000000"/>
                <w:szCs w:val="21"/>
              </w:rPr>
              <w:t>技术有限公司、上海天华建筑设计有限公司、深圳市智慧城市科技发展集团有限公司、北京首通智城科技创新有限责任公司</w:t>
            </w:r>
          </w:p>
        </w:tc>
        <w:tc>
          <w:tcPr>
            <w:tcW w:w="858" w:type="dxa"/>
            <w:tcBorders>
              <w:top w:val="nil"/>
            </w:tcBorders>
            <w:noWrap w:val="0"/>
            <w:vAlign w:val="center"/>
          </w:tcPr>
          <w:p>
            <w:pPr>
              <w:jc w:val="center"/>
              <w:rPr>
                <w:rFonts w:ascii="仿宋" w:hAnsi="仿宋" w:eastAsia="仿宋" w:cs="Times New Roman"/>
                <w:color w:val="000000"/>
                <w:szCs w:val="21"/>
              </w:rPr>
            </w:pPr>
            <w:r>
              <w:rPr>
                <w:rFonts w:hint="eastAsia" w:ascii="仿宋" w:hAnsi="仿宋" w:eastAsia="仿宋" w:cs="Times New Roman"/>
                <w:color w:val="000000"/>
                <w:szCs w:val="21"/>
              </w:rPr>
              <w:t xml:space="preserve">顾 </w:t>
            </w:r>
            <w:r>
              <w:rPr>
                <w:rFonts w:ascii="仿宋" w:hAnsi="仿宋" w:eastAsia="仿宋" w:cs="Times New Roman"/>
                <w:color w:val="000000"/>
                <w:szCs w:val="21"/>
              </w:rPr>
              <w:t xml:space="preserve"> </w:t>
            </w:r>
            <w:r>
              <w:rPr>
                <w:rFonts w:hint="eastAsia" w:ascii="仿宋" w:hAnsi="仿宋" w:eastAsia="仿宋" w:cs="Times New Roman"/>
                <w:color w:val="000000"/>
                <w:szCs w:val="21"/>
              </w:rPr>
              <w:t>明</w:t>
            </w:r>
          </w:p>
        </w:tc>
        <w:tc>
          <w:tcPr>
            <w:tcW w:w="851" w:type="dxa"/>
            <w:tcBorders>
              <w:top w:val="nil"/>
            </w:tcBorders>
            <w:noWrap w:val="0"/>
            <w:vAlign w:val="center"/>
          </w:tcPr>
          <w:p>
            <w:pPr>
              <w:widowControl/>
              <w:jc w:val="center"/>
              <w:rPr>
                <w:rFonts w:ascii="仿宋" w:hAnsi="仿宋" w:eastAsia="仿宋" w:cs="Times New Roman"/>
                <w:color w:val="000000"/>
                <w:szCs w:val="21"/>
              </w:rPr>
            </w:pPr>
            <w:r>
              <w:rPr>
                <w:rFonts w:hint="eastAsia" w:ascii="仿宋" w:hAnsi="仿宋" w:eastAsia="仿宋" w:cs="Times New Roman"/>
                <w:color w:val="000000"/>
                <w:szCs w:val="21"/>
              </w:rPr>
              <w:t>2026年</w:t>
            </w:r>
            <w:r>
              <w:rPr>
                <w:rFonts w:hint="eastAsia" w:ascii="仿宋" w:hAnsi="仿宋" w:eastAsia="仿宋" w:cs="Times New Roman"/>
                <w:color w:val="000000"/>
                <w:szCs w:val="21"/>
                <w:lang w:eastAsia="zh-CN"/>
              </w:rPr>
              <w:t>6月3日</w:t>
            </w:r>
            <w:r>
              <w:rPr>
                <w:rFonts w:hint="eastAsia" w:ascii="仿宋" w:hAnsi="仿宋" w:eastAsia="仿宋" w:cs="Times New Roman"/>
                <w:color w:val="000000"/>
                <w:szCs w:val="21"/>
              </w:rPr>
              <w:t>前</w:t>
            </w:r>
          </w:p>
        </w:tc>
      </w:tr>
    </w:tbl>
    <w:p>
      <w:pPr>
        <w:widowControl/>
        <w:spacing w:line="320" w:lineRule="exact"/>
        <w:rPr>
          <w:rFonts w:ascii="仿宋" w:hAnsi="仿宋" w:eastAsia="仿宋" w:cs="Times New Roman"/>
          <w:color w:val="000000"/>
          <w:szCs w:val="21"/>
        </w:rPr>
      </w:pPr>
    </w:p>
    <w:p/>
    <w:sectPr>
      <w:footerReference r:id="rId3" w:type="default"/>
      <w:pgSz w:w="16838" w:h="11906" w:orient="landscape"/>
      <w:pgMar w:top="567" w:right="1021" w:bottom="567" w:left="102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zA3NmFlNzRhMzc1ZDU3MDMwYTBmYTYyYzNjMWQifQ=="/>
  </w:docVars>
  <w:rsids>
    <w:rsidRoot w:val="17423715"/>
    <w:rsid w:val="1742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2024-06-04T01:40:00Z</dcterms:created>
  <dc:creator>七色花语</dc:creator>
  <cp:lastModifiedBy>七色花语</cp:lastModifiedBy>
  <dcterms:modified xsi:type="dcterms:W3CDTF">2024-06-04T01:40:52Z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9201D705C17D44D58CD93642111B4313_11</vt:lpwstr>
  </property>
</Properties>
</file>