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65" w:lineRule="atLeast"/>
        <w:rPr>
          <w:rFonts w:ascii="Times New Roman" w:hAnsi="Times New Roman" w:eastAsia="仿宋_GB2312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33333"/>
          <w:sz w:val="28"/>
          <w:szCs w:val="28"/>
        </w:rPr>
        <w:t>附件</w:t>
      </w:r>
    </w:p>
    <w:p>
      <w:pPr>
        <w:spacing w:line="288" w:lineRule="auto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日程安排表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（拟）</w:t>
      </w:r>
    </w:p>
    <w:p>
      <w:pPr>
        <w:spacing w:line="288" w:lineRule="auto"/>
        <w:jc w:val="center"/>
        <w:rPr>
          <w:rFonts w:hint="eastAsia" w:ascii="Times New Roman" w:hAnsi="Times New Roman" w:eastAsia="方正小标宋简体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color w:val="000000"/>
          <w:sz w:val="28"/>
          <w:szCs w:val="28"/>
        </w:rPr>
        <w:t>（以报到日安排为准）</w:t>
      </w:r>
    </w:p>
    <w:tbl>
      <w:tblPr>
        <w:tblStyle w:val="4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796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Header/>
          <w:jc w:val="center"/>
        </w:trPr>
        <w:tc>
          <w:tcPr>
            <w:tcW w:w="555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日期</w:t>
            </w: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5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26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全天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555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27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45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浙江省制冷空调行业协会领导致欢迎辞</w:t>
            </w:r>
          </w:p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中国勘察设计行业协会领导致开班辞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55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《高效空调制冷机房系统能效监测与分级标准》解读（屈国伦）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5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集成高效冷冻机开发与应用研究（暂定）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15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高效冷冻机开发与应用研究（一）（暂定）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15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16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高效冷冻机开发与应用研究（二）（暂定）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16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17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《标准》解读及高效机房案例分析（屈国伦）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555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28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45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《多联机空调系统设计应用技术规程》编制背景、概况及运营管理（杨毅/丁德）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《多联机空调系统设计应用技术规程》设计（余俊祥/张力）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2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空气源、水源多联机发展与应用（一）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15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空气源、水源多联机发展与应用（二）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15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16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燃气及其他多联机发展与应用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16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17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《多联机空调系统设计应用技术规程》安装与调试、检验及验收（崔大梁/寿广）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5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994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17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17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45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学员提问交流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19FA615B"/>
    <w:rsid w:val="19F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2024-05-11T03:02:00Z</dcterms:created>
  <dc:creator>七色花语</dc:creator>
  <cp:lastModifiedBy>七色花语</cp:lastModifiedBy>
  <dcterms:modified xsi:type="dcterms:W3CDTF">2024-05-11T03:03:05Z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ABD3B26DFE70480AB1CBBD01F54A2A85_11</vt:lpwstr>
  </property>
</Properties>
</file>